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thumbnail" Target="docProps/thumbnail.emf"/><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openxmlformats.org/officeDocument/2006/relationships/custom-properties" Target="docProps/custom.xml"/><Relationship Id="rId5" Type="http://schemas.openxmlformats.org/officeDocument/2006/relationships/extended-properties" Target="docProps/app.xml"/><Relationship Id="rId4" Type="http://schemas.openxmlformats.org/package/2006/relationships/metadata/core-properties" Target="docProps/core.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9CE24B" w14:textId="77777777" w:rsidR="00243D03" w:rsidRDefault="00243D03" w:rsidP="00243D03">
      <w:pPr>
        <w:spacing w:after="0" w:line="360" w:lineRule="auto"/>
        <w:rPr>
          <w:rFonts w:ascii="Times New Roman" w:hAnsi="Times New Roman" w:cs="Times New Roman"/>
          <w:b/>
          <w:color w:val="000000" w:themeColor="text1"/>
          <w:sz w:val="24"/>
          <w:szCs w:val="24"/>
          <w:shd w:val="clear" w:color="auto" w:fill="FFFFFF"/>
        </w:rPr>
      </w:pPr>
      <w:bookmarkStart w:id="0" w:name="_Hlk199592154"/>
      <w:r w:rsidRPr="00450D34">
        <w:rPr>
          <w:rFonts w:ascii="Times New Roman" w:hAnsi="Times New Roman" w:cs="Times New Roman"/>
          <w:b/>
          <w:color w:val="000000" w:themeColor="text1"/>
          <w:sz w:val="24"/>
          <w:szCs w:val="24"/>
          <w:shd w:val="clear" w:color="auto" w:fill="FFFFFF"/>
        </w:rPr>
        <w:t>Multi-Targets Neuroprotective Mechanisms of Phenolic Compounds from Antiaris Africana against Parkinson's Disease.</w:t>
      </w:r>
    </w:p>
    <w:p w14:paraId="71A24F94" w14:textId="77777777" w:rsidR="00243D03" w:rsidRPr="009E1888" w:rsidRDefault="00243D03" w:rsidP="00243D03">
      <w:pPr>
        <w:spacing w:after="0" w:line="360" w:lineRule="auto"/>
        <w:jc w:val="both"/>
        <w:rPr>
          <w:rFonts w:ascii="Times New Roman" w:hAnsi="Times New Roman" w:cs="Times New Roman"/>
          <w:sz w:val="24"/>
          <w:szCs w:val="24"/>
          <w:vertAlign w:val="superscript"/>
        </w:rPr>
      </w:pPr>
      <w:r w:rsidRPr="009E1888">
        <w:rPr>
          <w:rFonts w:ascii="Times New Roman" w:hAnsi="Times New Roman" w:cs="Times New Roman"/>
          <w:sz w:val="24"/>
          <w:szCs w:val="24"/>
        </w:rPr>
        <w:t>Bright Kwaku Anyomi</w:t>
      </w:r>
      <w:r w:rsidRPr="009E1888">
        <w:rPr>
          <w:rFonts w:ascii="Times New Roman" w:hAnsi="Times New Roman" w:cs="Times New Roman"/>
          <w:sz w:val="24"/>
          <w:szCs w:val="24"/>
          <w:vertAlign w:val="superscript"/>
        </w:rPr>
        <w:t>1</w:t>
      </w:r>
      <w:r w:rsidRPr="009E1888">
        <w:rPr>
          <w:rFonts w:ascii="Times New Roman" w:hAnsi="Times New Roman" w:cs="Times New Roman"/>
          <w:sz w:val="24"/>
          <w:szCs w:val="24"/>
        </w:rPr>
        <w:t>, Kwadwo Fosu</w:t>
      </w:r>
      <w:proofErr w:type="gramStart"/>
      <w:r w:rsidRPr="009E1888">
        <w:rPr>
          <w:rFonts w:ascii="Times New Roman" w:hAnsi="Times New Roman" w:cs="Times New Roman"/>
          <w:sz w:val="24"/>
          <w:szCs w:val="24"/>
          <w:vertAlign w:val="superscript"/>
        </w:rPr>
        <w:t>2,3,</w:t>
      </w:r>
      <w:r w:rsidRPr="009E1888">
        <w:rPr>
          <w:rFonts w:ascii="Times New Roman" w:hAnsi="Times New Roman" w:cs="Times New Roman"/>
          <w:sz w:val="24"/>
          <w:szCs w:val="24"/>
        </w:rPr>
        <w:t>,</w:t>
      </w:r>
      <w:proofErr w:type="gramEnd"/>
      <w:r w:rsidRPr="009E1888">
        <w:rPr>
          <w:rFonts w:ascii="Times New Roman" w:hAnsi="Times New Roman" w:cs="Times New Roman"/>
          <w:sz w:val="24"/>
          <w:szCs w:val="24"/>
        </w:rPr>
        <w:t xml:space="preserve"> </w:t>
      </w:r>
      <w:proofErr w:type="spellStart"/>
      <w:r w:rsidRPr="009E1888">
        <w:rPr>
          <w:rFonts w:ascii="Times New Roman" w:hAnsi="Times New Roman" w:cs="Times New Roman"/>
          <w:sz w:val="24"/>
          <w:szCs w:val="24"/>
        </w:rPr>
        <w:t>Jutsum</w:t>
      </w:r>
      <w:proofErr w:type="spellEnd"/>
      <w:r w:rsidRPr="009E1888">
        <w:rPr>
          <w:rFonts w:ascii="Times New Roman" w:hAnsi="Times New Roman" w:cs="Times New Roman"/>
          <w:sz w:val="24"/>
          <w:szCs w:val="24"/>
        </w:rPr>
        <w:t xml:space="preserve"> Nii </w:t>
      </w:r>
      <w:proofErr w:type="spellStart"/>
      <w:r w:rsidRPr="009E1888">
        <w:rPr>
          <w:rFonts w:ascii="Times New Roman" w:hAnsi="Times New Roman" w:cs="Times New Roman"/>
          <w:sz w:val="24"/>
          <w:szCs w:val="24"/>
        </w:rPr>
        <w:t>Kotei</w:t>
      </w:r>
      <w:proofErr w:type="spellEnd"/>
      <w:r w:rsidRPr="009E1888">
        <w:rPr>
          <w:rFonts w:ascii="Times New Roman" w:hAnsi="Times New Roman" w:cs="Times New Roman"/>
          <w:sz w:val="24"/>
          <w:szCs w:val="24"/>
        </w:rPr>
        <w:t xml:space="preserve"> Amon</w:t>
      </w:r>
      <w:r w:rsidRPr="009E1888">
        <w:rPr>
          <w:rFonts w:ascii="Times New Roman" w:hAnsi="Times New Roman" w:cs="Times New Roman"/>
          <w:sz w:val="24"/>
          <w:szCs w:val="24"/>
          <w:vertAlign w:val="superscript"/>
        </w:rPr>
        <w:t>2,3</w:t>
      </w:r>
      <w:r w:rsidRPr="009E1888">
        <w:rPr>
          <w:rFonts w:ascii="Times New Roman" w:hAnsi="Times New Roman" w:cs="Times New Roman"/>
          <w:sz w:val="24"/>
          <w:szCs w:val="24"/>
        </w:rPr>
        <w:t>,</w:t>
      </w:r>
      <w:r w:rsidRPr="00852DDC">
        <w:t xml:space="preserve"> </w:t>
      </w:r>
      <w:r w:rsidRPr="00852DDC">
        <w:rPr>
          <w:rFonts w:ascii="Times New Roman" w:hAnsi="Times New Roman" w:cs="Times New Roman"/>
          <w:sz w:val="24"/>
          <w:szCs w:val="24"/>
        </w:rPr>
        <w:t>Benjamin Aboagye</w:t>
      </w:r>
      <w:r w:rsidRPr="00852DDC">
        <w:rPr>
          <w:rFonts w:ascii="Times New Roman" w:hAnsi="Times New Roman" w:cs="Times New Roman"/>
          <w:sz w:val="24"/>
          <w:szCs w:val="24"/>
          <w:vertAlign w:val="superscript"/>
        </w:rPr>
        <w:t>6</w:t>
      </w:r>
      <w:r>
        <w:rPr>
          <w:rFonts w:ascii="Times New Roman" w:hAnsi="Times New Roman" w:cs="Times New Roman"/>
          <w:sz w:val="24"/>
          <w:szCs w:val="24"/>
        </w:rPr>
        <w:t xml:space="preserve">, </w:t>
      </w:r>
      <w:r w:rsidRPr="00852DDC">
        <w:rPr>
          <w:rFonts w:ascii="Times New Roman" w:hAnsi="Times New Roman" w:cs="Times New Roman"/>
          <w:sz w:val="24"/>
          <w:szCs w:val="24"/>
        </w:rPr>
        <w:t>Pilani Nkomozepi</w:t>
      </w:r>
      <w:r>
        <w:rPr>
          <w:rFonts w:ascii="Times New Roman" w:hAnsi="Times New Roman" w:cs="Times New Roman"/>
          <w:sz w:val="24"/>
          <w:szCs w:val="24"/>
          <w:vertAlign w:val="superscript"/>
        </w:rPr>
        <w:t>7</w:t>
      </w:r>
      <w:r>
        <w:rPr>
          <w:rFonts w:ascii="Times New Roman" w:hAnsi="Times New Roman" w:cs="Times New Roman"/>
          <w:sz w:val="24"/>
          <w:szCs w:val="24"/>
        </w:rPr>
        <w:t>, Jianshe</w:t>
      </w:r>
      <w:r w:rsidRPr="009E1888">
        <w:rPr>
          <w:rFonts w:ascii="Times New Roman" w:hAnsi="Times New Roman" w:cs="Times New Roman"/>
          <w:sz w:val="24"/>
          <w:szCs w:val="24"/>
        </w:rPr>
        <w:t xml:space="preserve"> Wei</w:t>
      </w:r>
      <w:r w:rsidRPr="009E1888">
        <w:rPr>
          <w:rFonts w:ascii="Times New Roman" w:hAnsi="Times New Roman" w:cs="Times New Roman"/>
          <w:sz w:val="24"/>
          <w:szCs w:val="24"/>
          <w:vertAlign w:val="superscript"/>
        </w:rPr>
        <w:t>1</w:t>
      </w:r>
      <w:r w:rsidRPr="009E1888">
        <w:rPr>
          <w:rFonts w:ascii="Times New Roman" w:hAnsi="Times New Roman" w:cs="Times New Roman"/>
          <w:sz w:val="24"/>
          <w:szCs w:val="24"/>
        </w:rPr>
        <w:t>*</w:t>
      </w:r>
    </w:p>
    <w:p w14:paraId="7AD3D606" w14:textId="77777777" w:rsidR="00243D03" w:rsidRPr="009E1888" w:rsidRDefault="00243D03" w:rsidP="00243D03">
      <w:pPr>
        <w:spacing w:after="0" w:line="360" w:lineRule="auto"/>
        <w:jc w:val="both"/>
        <w:rPr>
          <w:rFonts w:ascii="Times New Roman" w:hAnsi="Times New Roman" w:cs="Times New Roman"/>
          <w:sz w:val="24"/>
          <w:szCs w:val="24"/>
        </w:rPr>
      </w:pPr>
    </w:p>
    <w:p w14:paraId="2BC6AEB9" w14:textId="77777777" w:rsidR="00243D03" w:rsidRPr="009E1888" w:rsidRDefault="00243D03" w:rsidP="00243D03">
      <w:pPr>
        <w:spacing w:after="0" w:line="360" w:lineRule="auto"/>
        <w:jc w:val="both"/>
        <w:rPr>
          <w:rFonts w:ascii="Times New Roman" w:hAnsi="Times New Roman" w:cs="Times New Roman"/>
          <w:sz w:val="24"/>
          <w:szCs w:val="24"/>
        </w:rPr>
      </w:pPr>
      <w:r w:rsidRPr="00852DDC">
        <w:rPr>
          <w:rFonts w:ascii="Times New Roman" w:hAnsi="Times New Roman" w:cs="Times New Roman"/>
          <w:sz w:val="24"/>
          <w:szCs w:val="24"/>
          <w:vertAlign w:val="superscript"/>
        </w:rPr>
        <w:t>1</w:t>
      </w:r>
      <w:r w:rsidRPr="009E1888">
        <w:rPr>
          <w:rFonts w:ascii="Times New Roman" w:hAnsi="Times New Roman" w:cs="Times New Roman"/>
          <w:sz w:val="24"/>
          <w:szCs w:val="24"/>
        </w:rPr>
        <w:t>Institute for Brain Sciences Research, School of Life Sciences, Henan University, Kaifeng, China.</w:t>
      </w:r>
    </w:p>
    <w:p w14:paraId="0029C381" w14:textId="77777777" w:rsidR="00243D03" w:rsidRPr="009E1888" w:rsidRDefault="00243D03" w:rsidP="00243D03">
      <w:pPr>
        <w:spacing w:after="0" w:line="360" w:lineRule="auto"/>
        <w:jc w:val="both"/>
        <w:rPr>
          <w:rFonts w:ascii="Times New Roman" w:hAnsi="Times New Roman" w:cs="Times New Roman"/>
          <w:sz w:val="24"/>
          <w:szCs w:val="24"/>
        </w:rPr>
      </w:pPr>
      <w:r w:rsidRPr="00852DDC">
        <w:rPr>
          <w:rFonts w:ascii="Times New Roman" w:hAnsi="Times New Roman" w:cs="Times New Roman"/>
          <w:sz w:val="24"/>
          <w:szCs w:val="24"/>
          <w:vertAlign w:val="superscript"/>
        </w:rPr>
        <w:t>2</w:t>
      </w:r>
      <w:r w:rsidRPr="009E1888">
        <w:rPr>
          <w:rFonts w:ascii="Times New Roman" w:hAnsi="Times New Roman" w:cs="Times New Roman"/>
          <w:sz w:val="24"/>
          <w:szCs w:val="24"/>
        </w:rPr>
        <w:t>West African Centre for Cell Biology of Infectious Pathogens (WACCBIP), University of Ghana.</w:t>
      </w:r>
    </w:p>
    <w:p w14:paraId="5D3DEC9A" w14:textId="77777777" w:rsidR="00243D03" w:rsidRPr="009E1888" w:rsidRDefault="00243D03" w:rsidP="00243D03">
      <w:pPr>
        <w:spacing w:after="0" w:line="360" w:lineRule="auto"/>
        <w:jc w:val="both"/>
        <w:rPr>
          <w:rFonts w:ascii="Times New Roman" w:hAnsi="Times New Roman" w:cs="Times New Roman"/>
          <w:sz w:val="24"/>
          <w:szCs w:val="24"/>
        </w:rPr>
      </w:pPr>
      <w:r w:rsidRPr="00852DDC">
        <w:rPr>
          <w:rFonts w:ascii="Times New Roman" w:hAnsi="Times New Roman" w:cs="Times New Roman"/>
          <w:sz w:val="24"/>
          <w:szCs w:val="24"/>
          <w:vertAlign w:val="superscript"/>
        </w:rPr>
        <w:t>3</w:t>
      </w:r>
      <w:r w:rsidRPr="009E1888">
        <w:rPr>
          <w:rFonts w:ascii="Times New Roman" w:hAnsi="Times New Roman" w:cs="Times New Roman"/>
          <w:sz w:val="24"/>
          <w:szCs w:val="24"/>
        </w:rPr>
        <w:t>Department of Biochemistry, Cell and Molecular Biology, University of Ghana</w:t>
      </w:r>
    </w:p>
    <w:p w14:paraId="2BAAA764" w14:textId="77777777" w:rsidR="00243D03" w:rsidRPr="009E1888" w:rsidRDefault="00243D03" w:rsidP="00243D03">
      <w:pPr>
        <w:spacing w:after="0" w:line="360" w:lineRule="auto"/>
        <w:jc w:val="both"/>
        <w:rPr>
          <w:rFonts w:ascii="Times New Roman" w:hAnsi="Times New Roman" w:cs="Times New Roman"/>
          <w:sz w:val="24"/>
          <w:szCs w:val="24"/>
        </w:rPr>
      </w:pPr>
      <w:r w:rsidRPr="00852DDC">
        <w:rPr>
          <w:rFonts w:ascii="Times New Roman" w:hAnsi="Times New Roman" w:cs="Times New Roman"/>
          <w:sz w:val="24"/>
          <w:szCs w:val="24"/>
          <w:vertAlign w:val="superscript"/>
        </w:rPr>
        <w:t>4</w:t>
      </w:r>
      <w:r w:rsidRPr="009E1888">
        <w:rPr>
          <w:rFonts w:ascii="Times New Roman" w:hAnsi="Times New Roman" w:cs="Times New Roman"/>
          <w:sz w:val="24"/>
          <w:szCs w:val="24"/>
        </w:rPr>
        <w:t>Department of Biological Sciences, Dar es Salaam University College of Education, Dar es Salaam, Tanzania.</w:t>
      </w:r>
    </w:p>
    <w:p w14:paraId="4CE46837" w14:textId="77777777" w:rsidR="00243D03" w:rsidRDefault="00243D03" w:rsidP="00243D03">
      <w:pPr>
        <w:spacing w:after="0" w:line="360" w:lineRule="auto"/>
        <w:jc w:val="both"/>
        <w:rPr>
          <w:rFonts w:ascii="Times New Roman" w:hAnsi="Times New Roman" w:cs="Times New Roman"/>
          <w:sz w:val="24"/>
          <w:szCs w:val="24"/>
        </w:rPr>
      </w:pPr>
      <w:r w:rsidRPr="00852DDC">
        <w:rPr>
          <w:rFonts w:ascii="Times New Roman" w:hAnsi="Times New Roman" w:cs="Times New Roman"/>
          <w:sz w:val="24"/>
          <w:szCs w:val="24"/>
          <w:vertAlign w:val="superscript"/>
        </w:rPr>
        <w:t>5</w:t>
      </w:r>
      <w:r w:rsidRPr="009E1888">
        <w:rPr>
          <w:rFonts w:ascii="Times New Roman" w:hAnsi="Times New Roman" w:cs="Times New Roman"/>
          <w:sz w:val="24"/>
          <w:szCs w:val="24"/>
        </w:rPr>
        <w:t>Centre for Plant Medicine Research, Phytochemistry Department, Mampong-</w:t>
      </w:r>
      <w:proofErr w:type="spellStart"/>
      <w:r w:rsidRPr="009E1888">
        <w:rPr>
          <w:rFonts w:ascii="Times New Roman" w:hAnsi="Times New Roman" w:cs="Times New Roman"/>
          <w:sz w:val="24"/>
          <w:szCs w:val="24"/>
        </w:rPr>
        <w:t>Akuapem</w:t>
      </w:r>
      <w:proofErr w:type="spellEnd"/>
      <w:r w:rsidRPr="009E1888">
        <w:rPr>
          <w:rFonts w:ascii="Times New Roman" w:hAnsi="Times New Roman" w:cs="Times New Roman"/>
          <w:sz w:val="24"/>
          <w:szCs w:val="24"/>
        </w:rPr>
        <w:t>, Ghana.</w:t>
      </w:r>
    </w:p>
    <w:p w14:paraId="717EEB5B" w14:textId="77777777" w:rsidR="00243D03" w:rsidRPr="009E1888" w:rsidRDefault="00243D03" w:rsidP="00243D03">
      <w:pPr>
        <w:spacing w:after="0" w:line="360" w:lineRule="auto"/>
        <w:jc w:val="both"/>
        <w:rPr>
          <w:rFonts w:ascii="Times New Roman" w:hAnsi="Times New Roman" w:cs="Times New Roman"/>
          <w:sz w:val="24"/>
          <w:szCs w:val="24"/>
        </w:rPr>
      </w:pPr>
      <w:r w:rsidRPr="00852DDC">
        <w:rPr>
          <w:rFonts w:ascii="Times New Roman" w:hAnsi="Times New Roman" w:cs="Times New Roman"/>
          <w:sz w:val="24"/>
          <w:szCs w:val="24"/>
          <w:vertAlign w:val="superscript"/>
        </w:rPr>
        <w:t>6</w:t>
      </w:r>
      <w:r w:rsidRPr="00852DDC">
        <w:rPr>
          <w:rFonts w:ascii="Times New Roman" w:hAnsi="Times New Roman" w:cs="Times New Roman"/>
          <w:sz w:val="24"/>
          <w:szCs w:val="24"/>
        </w:rPr>
        <w:t>Department of Forensic Sciences, School of Biological Sciences, University of Cape Coast, Cape Coast, Ghana.</w:t>
      </w:r>
    </w:p>
    <w:p w14:paraId="2D17F90C" w14:textId="77777777" w:rsidR="00243D03" w:rsidRPr="009E1888" w:rsidRDefault="00243D03" w:rsidP="00243D03">
      <w:pPr>
        <w:spacing w:after="0" w:line="360" w:lineRule="auto"/>
        <w:jc w:val="both"/>
        <w:rPr>
          <w:rFonts w:ascii="Times New Roman" w:hAnsi="Times New Roman" w:cs="Times New Roman"/>
          <w:sz w:val="24"/>
          <w:szCs w:val="24"/>
        </w:rPr>
      </w:pPr>
      <w:r>
        <w:rPr>
          <w:rFonts w:ascii="Times New Roman" w:hAnsi="Times New Roman" w:cs="Times New Roman"/>
          <w:sz w:val="24"/>
          <w:szCs w:val="24"/>
          <w:vertAlign w:val="superscript"/>
        </w:rPr>
        <w:t>7</w:t>
      </w:r>
      <w:r w:rsidRPr="00852DDC">
        <w:rPr>
          <w:rFonts w:ascii="Times New Roman" w:hAnsi="Times New Roman" w:cs="Times New Roman"/>
          <w:sz w:val="24"/>
          <w:szCs w:val="24"/>
        </w:rPr>
        <w:t>Department of Human Anatomy and Physiology, University of Johannesburg, South Africa</w:t>
      </w:r>
    </w:p>
    <w:p w14:paraId="0BBA05EC" w14:textId="77777777" w:rsidR="00243D03" w:rsidRDefault="00243D03" w:rsidP="00243D03">
      <w:pPr>
        <w:spacing w:after="0" w:line="360" w:lineRule="auto"/>
        <w:jc w:val="both"/>
        <w:rPr>
          <w:rFonts w:ascii="Times New Roman" w:hAnsi="Times New Roman" w:cs="Times New Roman"/>
          <w:sz w:val="24"/>
          <w:szCs w:val="24"/>
        </w:rPr>
      </w:pPr>
    </w:p>
    <w:p w14:paraId="7A81E9ED" w14:textId="77777777" w:rsidR="00243D03" w:rsidRPr="009E1888" w:rsidRDefault="00243D03" w:rsidP="00243D03">
      <w:pPr>
        <w:spacing w:after="0" w:line="360" w:lineRule="auto"/>
        <w:jc w:val="both"/>
        <w:rPr>
          <w:rFonts w:ascii="Times New Roman" w:hAnsi="Times New Roman" w:cs="Times New Roman"/>
          <w:sz w:val="24"/>
          <w:szCs w:val="24"/>
        </w:rPr>
      </w:pPr>
      <w:r w:rsidRPr="009E1888">
        <w:rPr>
          <w:rFonts w:ascii="Times New Roman" w:hAnsi="Times New Roman" w:cs="Times New Roman"/>
          <w:sz w:val="24"/>
          <w:szCs w:val="24"/>
        </w:rPr>
        <w:t xml:space="preserve">*Correspondence: Jianshe Wei; jswei@henu.edu.cn </w:t>
      </w:r>
    </w:p>
    <w:bookmarkEnd w:id="0"/>
    <w:p w14:paraId="59F7C715" w14:textId="77777777" w:rsidR="00FE343B" w:rsidRPr="00514F1A" w:rsidRDefault="00FE343B" w:rsidP="00514F1A">
      <w:pPr>
        <w:pStyle w:val="NormalWeb"/>
        <w:spacing w:before="0" w:beforeAutospacing="0" w:after="0" w:afterAutospacing="0" w:line="360" w:lineRule="auto"/>
        <w:jc w:val="both"/>
        <w:rPr>
          <w:rFonts w:eastAsia="SimSun"/>
        </w:rPr>
      </w:pPr>
    </w:p>
    <w:p w14:paraId="5958B99C" w14:textId="77777777" w:rsidR="00FE343B" w:rsidRPr="00514F1A" w:rsidRDefault="00FE343B" w:rsidP="00514F1A">
      <w:pPr>
        <w:pStyle w:val="NormalWeb"/>
        <w:spacing w:before="0" w:beforeAutospacing="0" w:after="0" w:afterAutospacing="0" w:line="360" w:lineRule="auto"/>
        <w:jc w:val="both"/>
        <w:rPr>
          <w:rFonts w:eastAsia="SimSun"/>
        </w:rPr>
      </w:pPr>
    </w:p>
    <w:p w14:paraId="097C5FBA" w14:textId="77777777" w:rsidR="00FE343B" w:rsidRPr="00514F1A" w:rsidRDefault="00FE343B" w:rsidP="00514F1A">
      <w:pPr>
        <w:pStyle w:val="NormalWeb"/>
        <w:spacing w:before="0" w:beforeAutospacing="0" w:after="0" w:afterAutospacing="0" w:line="360" w:lineRule="auto"/>
        <w:jc w:val="both"/>
        <w:rPr>
          <w:rFonts w:eastAsia="SimSun"/>
        </w:rPr>
      </w:pPr>
    </w:p>
    <w:p w14:paraId="24451D96" w14:textId="77777777" w:rsidR="00FE343B" w:rsidRPr="00514F1A" w:rsidRDefault="00FE343B" w:rsidP="00514F1A">
      <w:pPr>
        <w:pStyle w:val="NormalWeb"/>
        <w:spacing w:before="0" w:beforeAutospacing="0" w:after="0" w:afterAutospacing="0" w:line="360" w:lineRule="auto"/>
        <w:jc w:val="both"/>
        <w:rPr>
          <w:rFonts w:eastAsia="SimSun"/>
        </w:rPr>
      </w:pPr>
    </w:p>
    <w:p w14:paraId="54EC4766" w14:textId="77777777" w:rsidR="00FE343B" w:rsidRPr="00514F1A" w:rsidRDefault="00FE343B" w:rsidP="00514F1A">
      <w:pPr>
        <w:pStyle w:val="NormalWeb"/>
        <w:spacing w:before="0" w:beforeAutospacing="0" w:after="0" w:afterAutospacing="0" w:line="360" w:lineRule="auto"/>
        <w:jc w:val="both"/>
        <w:rPr>
          <w:rFonts w:eastAsia="SimSun"/>
        </w:rPr>
      </w:pPr>
    </w:p>
    <w:p w14:paraId="3C9B0B3D" w14:textId="77777777" w:rsidR="00FE343B" w:rsidRPr="00514F1A" w:rsidRDefault="00FE343B" w:rsidP="00514F1A">
      <w:pPr>
        <w:pStyle w:val="NormalWeb"/>
        <w:spacing w:before="0" w:beforeAutospacing="0" w:after="0" w:afterAutospacing="0" w:line="360" w:lineRule="auto"/>
        <w:jc w:val="both"/>
        <w:rPr>
          <w:rFonts w:eastAsia="SimSun"/>
        </w:rPr>
      </w:pPr>
    </w:p>
    <w:p w14:paraId="7548954F" w14:textId="77777777" w:rsidR="00FE343B" w:rsidRPr="00514F1A" w:rsidRDefault="00FE343B" w:rsidP="00514F1A">
      <w:pPr>
        <w:pStyle w:val="NormalWeb"/>
        <w:spacing w:before="0" w:beforeAutospacing="0" w:after="0" w:afterAutospacing="0" w:line="360" w:lineRule="auto"/>
        <w:jc w:val="both"/>
        <w:rPr>
          <w:rFonts w:eastAsia="SimSun"/>
        </w:rPr>
      </w:pPr>
    </w:p>
    <w:p w14:paraId="7AA3A2E7" w14:textId="77777777" w:rsidR="00FE343B" w:rsidRPr="00514F1A" w:rsidRDefault="00FE343B" w:rsidP="00514F1A">
      <w:pPr>
        <w:pStyle w:val="NormalWeb"/>
        <w:spacing w:before="0" w:beforeAutospacing="0" w:after="0" w:afterAutospacing="0" w:line="360" w:lineRule="auto"/>
        <w:jc w:val="both"/>
        <w:rPr>
          <w:rFonts w:eastAsia="SimSun"/>
        </w:rPr>
      </w:pPr>
    </w:p>
    <w:p w14:paraId="0253A11E" w14:textId="77777777" w:rsidR="00FE343B" w:rsidRPr="00514F1A" w:rsidRDefault="00FE343B" w:rsidP="00514F1A">
      <w:pPr>
        <w:pStyle w:val="NormalWeb"/>
        <w:spacing w:before="0" w:beforeAutospacing="0" w:after="0" w:afterAutospacing="0" w:line="360" w:lineRule="auto"/>
        <w:jc w:val="both"/>
        <w:rPr>
          <w:rFonts w:eastAsia="SimSun"/>
        </w:rPr>
      </w:pPr>
    </w:p>
    <w:p w14:paraId="2F833995" w14:textId="77777777" w:rsidR="00FE343B" w:rsidRPr="00514F1A" w:rsidRDefault="00FE343B" w:rsidP="00514F1A">
      <w:pPr>
        <w:pStyle w:val="NormalWeb"/>
        <w:spacing w:before="0" w:beforeAutospacing="0" w:after="0" w:afterAutospacing="0" w:line="360" w:lineRule="auto"/>
        <w:jc w:val="both"/>
        <w:rPr>
          <w:rFonts w:eastAsia="SimSun"/>
        </w:rPr>
      </w:pPr>
    </w:p>
    <w:p w14:paraId="65AFF6AB" w14:textId="77777777" w:rsidR="00FE343B" w:rsidRPr="00514F1A" w:rsidRDefault="00FE343B" w:rsidP="00514F1A">
      <w:pPr>
        <w:pStyle w:val="NormalWeb"/>
        <w:spacing w:before="0" w:beforeAutospacing="0" w:after="0" w:afterAutospacing="0" w:line="360" w:lineRule="auto"/>
        <w:jc w:val="both"/>
        <w:rPr>
          <w:rFonts w:eastAsia="SimSun"/>
        </w:rPr>
      </w:pPr>
    </w:p>
    <w:p w14:paraId="7C293905" w14:textId="77777777" w:rsidR="00FE343B" w:rsidRPr="00514F1A" w:rsidRDefault="00FE343B" w:rsidP="00514F1A">
      <w:pPr>
        <w:pStyle w:val="NormalWeb"/>
        <w:spacing w:before="0" w:beforeAutospacing="0" w:after="0" w:afterAutospacing="0" w:line="360" w:lineRule="auto"/>
        <w:jc w:val="both"/>
        <w:rPr>
          <w:rFonts w:eastAsia="SimSun"/>
        </w:rPr>
      </w:pPr>
    </w:p>
    <w:p w14:paraId="6D946040" w14:textId="77777777" w:rsidR="00FE343B" w:rsidRPr="00514F1A" w:rsidRDefault="00FE343B" w:rsidP="00514F1A">
      <w:pPr>
        <w:pStyle w:val="NormalWeb"/>
        <w:spacing w:before="0" w:beforeAutospacing="0" w:after="0" w:afterAutospacing="0" w:line="360" w:lineRule="auto"/>
        <w:jc w:val="both"/>
        <w:rPr>
          <w:rFonts w:eastAsia="SimSun"/>
        </w:rPr>
      </w:pPr>
    </w:p>
    <w:p w14:paraId="00339971" w14:textId="77777777" w:rsidR="00FE343B" w:rsidRPr="00514F1A" w:rsidRDefault="00FE343B" w:rsidP="00514F1A">
      <w:pPr>
        <w:pStyle w:val="NormalWeb"/>
        <w:spacing w:before="0" w:beforeAutospacing="0" w:after="0" w:afterAutospacing="0" w:line="360" w:lineRule="auto"/>
        <w:jc w:val="both"/>
        <w:rPr>
          <w:rFonts w:eastAsia="SimSun"/>
        </w:rPr>
      </w:pPr>
    </w:p>
    <w:p w14:paraId="42B98418" w14:textId="77777777" w:rsidR="00FE343B" w:rsidRPr="00514F1A" w:rsidRDefault="00FE343B" w:rsidP="00514F1A">
      <w:pPr>
        <w:pStyle w:val="NormalWeb"/>
        <w:spacing w:before="0" w:beforeAutospacing="0" w:after="0" w:afterAutospacing="0" w:line="360" w:lineRule="auto"/>
        <w:jc w:val="both"/>
        <w:rPr>
          <w:rFonts w:eastAsia="SimSun"/>
        </w:rPr>
      </w:pPr>
    </w:p>
    <w:p w14:paraId="78003C1A" w14:textId="77777777" w:rsidR="00FE343B" w:rsidRPr="00514F1A" w:rsidRDefault="00FE343B" w:rsidP="00514F1A">
      <w:pPr>
        <w:pStyle w:val="NormalWeb"/>
        <w:spacing w:before="0" w:beforeAutospacing="0" w:after="0" w:afterAutospacing="0" w:line="360" w:lineRule="auto"/>
        <w:jc w:val="both"/>
        <w:rPr>
          <w:rFonts w:eastAsia="SimSun"/>
        </w:rPr>
      </w:pPr>
    </w:p>
    <w:p w14:paraId="296F8F2A" w14:textId="6B7F1D3A" w:rsidR="00CA7548" w:rsidRPr="00514F1A" w:rsidRDefault="00FE343B" w:rsidP="00514F1A">
      <w:pPr>
        <w:pStyle w:val="NormalWeb"/>
        <w:numPr>
          <w:ilvl w:val="0"/>
          <w:numId w:val="2"/>
        </w:numPr>
        <w:spacing w:before="0" w:beforeAutospacing="0" w:after="0" w:afterAutospacing="0" w:line="360" w:lineRule="auto"/>
        <w:ind w:left="0"/>
        <w:jc w:val="both"/>
        <w:rPr>
          <w:b/>
          <w:bCs/>
        </w:rPr>
      </w:pPr>
      <w:r w:rsidRPr="00514F1A">
        <w:rPr>
          <w:rFonts w:eastAsia="SimSun"/>
          <w:b/>
          <w:bCs/>
        </w:rPr>
        <w:t>Strings: Protein-protein interaction of Parkinson related targets</w:t>
      </w:r>
    </w:p>
    <w:p w14:paraId="7348EC21" w14:textId="27875614" w:rsidR="00CA7548" w:rsidRPr="00514F1A" w:rsidRDefault="00CA7548" w:rsidP="00514F1A">
      <w:pPr>
        <w:pStyle w:val="NormalWeb"/>
        <w:spacing w:before="0" w:beforeAutospacing="0" w:after="0" w:afterAutospacing="0" w:line="360" w:lineRule="auto"/>
        <w:jc w:val="both"/>
      </w:pPr>
    </w:p>
    <w:p w14:paraId="12A215CF" w14:textId="22CD985E" w:rsidR="00013ACF" w:rsidRPr="00514F1A" w:rsidRDefault="00FE343B" w:rsidP="00514F1A">
      <w:pPr>
        <w:spacing w:after="0" w:line="360" w:lineRule="auto"/>
        <w:jc w:val="both"/>
        <w:rPr>
          <w:rFonts w:ascii="Times New Roman" w:hAnsi="Times New Roman" w:cs="Times New Roman"/>
          <w:sz w:val="24"/>
          <w:szCs w:val="24"/>
        </w:rPr>
      </w:pPr>
      <w:r w:rsidRPr="00514F1A">
        <w:rPr>
          <w:rFonts w:ascii="Times New Roman" w:hAnsi="Times New Roman" w:cs="Times New Roman"/>
          <w:noProof/>
          <w:sz w:val="24"/>
          <w:szCs w:val="24"/>
        </w:rPr>
        <w:drawing>
          <wp:inline distT="0" distB="0" distL="0" distR="0" wp14:anchorId="445B0EA9" wp14:editId="2B53E7C4">
            <wp:extent cx="6057900" cy="6339435"/>
            <wp:effectExtent l="0" t="0" r="0" b="0"/>
            <wp:docPr id="1" name="Picture 1" descr="A network of colorful dot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network of colorful dots and lines&#10;&#10;AI-generated content may be incorrect."/>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082430" cy="6365105"/>
                    </a:xfrm>
                    <a:prstGeom prst="rect">
                      <a:avLst/>
                    </a:prstGeom>
                    <a:noFill/>
                    <a:ln>
                      <a:noFill/>
                    </a:ln>
                  </pic:spPr>
                </pic:pic>
              </a:graphicData>
            </a:graphic>
          </wp:inline>
        </w:drawing>
      </w:r>
    </w:p>
    <w:p w14:paraId="053F0310" w14:textId="0C2A03C6" w:rsidR="00C64E79" w:rsidRPr="00514F1A" w:rsidRDefault="00C64E79" w:rsidP="00514F1A">
      <w:pPr>
        <w:spacing w:after="0" w:line="360" w:lineRule="auto"/>
        <w:jc w:val="both"/>
        <w:rPr>
          <w:rFonts w:ascii="Times New Roman" w:eastAsia="SimSun" w:hAnsi="Times New Roman" w:cs="Times New Roman"/>
          <w:b/>
          <w:sz w:val="24"/>
          <w:szCs w:val="24"/>
        </w:rPr>
      </w:pPr>
      <w:r w:rsidRPr="00514F1A">
        <w:rPr>
          <w:rFonts w:ascii="Times New Roman" w:eastAsia="SimSun" w:hAnsi="Times New Roman" w:cs="Times New Roman"/>
          <w:b/>
          <w:sz w:val="24"/>
          <w:szCs w:val="24"/>
        </w:rPr>
        <w:t xml:space="preserve"> Figure S1</w:t>
      </w:r>
      <w:r w:rsidRPr="00514F1A">
        <w:rPr>
          <w:rFonts w:ascii="Times New Roman" w:eastAsia="SimSun" w:hAnsi="Times New Roman" w:cs="Times New Roman"/>
          <w:sz w:val="24"/>
          <w:szCs w:val="24"/>
        </w:rPr>
        <w:t xml:space="preserve">: Protein-protein interaction of </w:t>
      </w:r>
      <w:proofErr w:type="gramStart"/>
      <w:r w:rsidRPr="00514F1A">
        <w:rPr>
          <w:rFonts w:ascii="Times New Roman" w:eastAsia="SimSun" w:hAnsi="Times New Roman" w:cs="Times New Roman"/>
          <w:sz w:val="24"/>
          <w:szCs w:val="24"/>
        </w:rPr>
        <w:t>Parkinson related</w:t>
      </w:r>
      <w:proofErr w:type="gramEnd"/>
      <w:r w:rsidRPr="00514F1A">
        <w:rPr>
          <w:rFonts w:ascii="Times New Roman" w:eastAsia="SimSun" w:hAnsi="Times New Roman" w:cs="Times New Roman"/>
          <w:sz w:val="24"/>
          <w:szCs w:val="24"/>
        </w:rPr>
        <w:t xml:space="preserve"> targets. The black lines between nodes represent genes that are co-expressed across several experiments, the purple line indicates experimentally determined interaction between genes, the yellow lines indicate genes that have been frequently mentioned together, and the light blue lines indicate genes that show interaction based on curated data sources.</w:t>
      </w:r>
    </w:p>
    <w:p w14:paraId="282EE832" w14:textId="129A08E1" w:rsidR="001547FC" w:rsidRPr="00514F1A" w:rsidRDefault="00FE343B" w:rsidP="00514F1A">
      <w:pPr>
        <w:spacing w:after="0" w:line="360" w:lineRule="auto"/>
        <w:jc w:val="both"/>
        <w:rPr>
          <w:rFonts w:ascii="Times New Roman" w:hAnsi="Times New Roman" w:cs="Times New Roman"/>
          <w:b/>
          <w:bCs/>
          <w:sz w:val="24"/>
          <w:szCs w:val="24"/>
        </w:rPr>
      </w:pPr>
      <w:r w:rsidRPr="00514F1A">
        <w:rPr>
          <w:rFonts w:ascii="Times New Roman" w:hAnsi="Times New Roman" w:cs="Times New Roman"/>
          <w:b/>
          <w:bCs/>
          <w:sz w:val="24"/>
          <w:szCs w:val="24"/>
        </w:rPr>
        <w:t>2. Hub Gene Identification</w:t>
      </w:r>
    </w:p>
    <w:p w14:paraId="3C2CFD14" w14:textId="31C1B607" w:rsidR="001547FC" w:rsidRPr="00514F1A" w:rsidRDefault="00FE343B" w:rsidP="00514F1A">
      <w:pPr>
        <w:spacing w:after="0" w:line="360" w:lineRule="auto"/>
        <w:jc w:val="both"/>
        <w:rPr>
          <w:rFonts w:ascii="Times New Roman" w:hAnsi="Times New Roman" w:cs="Times New Roman"/>
          <w:sz w:val="24"/>
          <w:szCs w:val="24"/>
        </w:rPr>
      </w:pPr>
      <w:r w:rsidRPr="00514F1A">
        <w:rPr>
          <w:rFonts w:ascii="Times New Roman" w:hAnsi="Times New Roman" w:cs="Times New Roman"/>
          <w:sz w:val="24"/>
          <w:szCs w:val="24"/>
        </w:rPr>
        <w:t xml:space="preserve">As shown in this Figure S2, network topology analysis was used to identify hub genes which </w:t>
      </w:r>
      <w:r w:rsidR="00005180" w:rsidRPr="00514F1A">
        <w:rPr>
          <w:rFonts w:ascii="Times New Roman" w:hAnsi="Times New Roman" w:cs="Times New Roman"/>
          <w:sz w:val="24"/>
          <w:szCs w:val="24"/>
        </w:rPr>
        <w:t>may exert</w:t>
      </w:r>
      <w:r w:rsidRPr="00514F1A">
        <w:rPr>
          <w:rFonts w:ascii="Times New Roman" w:hAnsi="Times New Roman" w:cs="Times New Roman"/>
          <w:sz w:val="24"/>
          <w:szCs w:val="24"/>
        </w:rPr>
        <w:t xml:space="preserve"> central control in key regulatory pathways. Using standard centrality metrics including degree, betweenness, and closeness centrality</w:t>
      </w:r>
      <w:r w:rsidR="00005180" w:rsidRPr="00514F1A">
        <w:rPr>
          <w:rFonts w:ascii="Times New Roman" w:hAnsi="Times New Roman" w:cs="Times New Roman"/>
          <w:sz w:val="24"/>
          <w:szCs w:val="24"/>
        </w:rPr>
        <w:t xml:space="preserve"> (Values provided in supplementary Datasheet: hub genes)</w:t>
      </w:r>
      <w:r w:rsidRPr="00514F1A">
        <w:rPr>
          <w:rFonts w:ascii="Times New Roman" w:hAnsi="Times New Roman" w:cs="Times New Roman"/>
          <w:sz w:val="24"/>
          <w:szCs w:val="24"/>
        </w:rPr>
        <w:t xml:space="preserve">, we extracted the top 20 hub genes, which are highlighted in yellow </w:t>
      </w:r>
      <w:r w:rsidR="00005180" w:rsidRPr="00514F1A">
        <w:rPr>
          <w:rFonts w:ascii="Times New Roman" w:hAnsi="Times New Roman" w:cs="Times New Roman"/>
          <w:sz w:val="24"/>
          <w:szCs w:val="24"/>
        </w:rPr>
        <w:t>for further analysis.</w:t>
      </w:r>
    </w:p>
    <w:p w14:paraId="0429EBB7" w14:textId="5744871F" w:rsidR="001547FC" w:rsidRPr="00514F1A" w:rsidRDefault="001547FC" w:rsidP="00514F1A">
      <w:pPr>
        <w:spacing w:after="0" w:line="360" w:lineRule="auto"/>
        <w:jc w:val="both"/>
        <w:rPr>
          <w:rFonts w:ascii="Times New Roman" w:hAnsi="Times New Roman" w:cs="Times New Roman"/>
          <w:sz w:val="24"/>
          <w:szCs w:val="24"/>
        </w:rPr>
      </w:pPr>
    </w:p>
    <w:p w14:paraId="7B00A093" w14:textId="621D3251" w:rsidR="001547FC" w:rsidRPr="00514F1A" w:rsidRDefault="001547FC" w:rsidP="00514F1A">
      <w:pPr>
        <w:spacing w:after="0" w:line="360" w:lineRule="auto"/>
        <w:jc w:val="both"/>
        <w:rPr>
          <w:rFonts w:ascii="Times New Roman" w:hAnsi="Times New Roman" w:cs="Times New Roman"/>
          <w:sz w:val="24"/>
          <w:szCs w:val="24"/>
        </w:rPr>
      </w:pPr>
    </w:p>
    <w:p w14:paraId="152044A4" w14:textId="663F5620" w:rsidR="001547FC" w:rsidRPr="00514F1A" w:rsidRDefault="00AE37B2" w:rsidP="00514F1A">
      <w:pPr>
        <w:spacing w:after="0" w:line="360" w:lineRule="auto"/>
        <w:jc w:val="both"/>
        <w:rPr>
          <w:rFonts w:ascii="Times New Roman" w:hAnsi="Times New Roman" w:cs="Times New Roman"/>
          <w:sz w:val="24"/>
          <w:szCs w:val="24"/>
        </w:rPr>
      </w:pPr>
      <w:r w:rsidRPr="00514F1A">
        <w:rPr>
          <w:rFonts w:ascii="Times New Roman" w:hAnsi="Times New Roman" w:cs="Times New Roman"/>
          <w:noProof/>
          <w:sz w:val="24"/>
          <w:szCs w:val="24"/>
        </w:rPr>
        <w:drawing>
          <wp:inline distT="0" distB="0" distL="0" distR="0" wp14:anchorId="297F8CE3" wp14:editId="2B0A2C9F">
            <wp:extent cx="5943600" cy="47472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3600" cy="4747260"/>
                    </a:xfrm>
                    <a:prstGeom prst="rect">
                      <a:avLst/>
                    </a:prstGeom>
                    <a:noFill/>
                    <a:ln>
                      <a:noFill/>
                    </a:ln>
                  </pic:spPr>
                </pic:pic>
              </a:graphicData>
            </a:graphic>
          </wp:inline>
        </w:drawing>
      </w:r>
    </w:p>
    <w:p w14:paraId="063CF15B" w14:textId="77777777" w:rsidR="00F073D8" w:rsidRPr="00514F1A" w:rsidRDefault="00186FFD" w:rsidP="00514F1A">
      <w:pPr>
        <w:spacing w:after="0" w:line="360" w:lineRule="auto"/>
        <w:jc w:val="both"/>
        <w:rPr>
          <w:rFonts w:ascii="Times New Roman" w:hAnsi="Times New Roman" w:cs="Times New Roman"/>
          <w:sz w:val="24"/>
          <w:szCs w:val="24"/>
        </w:rPr>
      </w:pPr>
      <w:r w:rsidRPr="00514F1A">
        <w:rPr>
          <w:rFonts w:ascii="Times New Roman" w:hAnsi="Times New Roman" w:cs="Times New Roman"/>
          <w:b/>
          <w:bCs/>
          <w:sz w:val="24"/>
          <w:szCs w:val="24"/>
        </w:rPr>
        <w:t xml:space="preserve">Figure S2: </w:t>
      </w:r>
      <w:r w:rsidRPr="00514F1A">
        <w:rPr>
          <w:rFonts w:ascii="Times New Roman" w:hAnsi="Times New Roman" w:cs="Times New Roman"/>
          <w:sz w:val="24"/>
          <w:szCs w:val="24"/>
        </w:rPr>
        <w:t>Cytoscape map showing the network of Parkinson related targets. Nodes in yellow bubbles are the top 20 hub genes that were identified for further analysis.</w:t>
      </w:r>
    </w:p>
    <w:p w14:paraId="5BE39D9A" w14:textId="77777777" w:rsidR="00F073D8" w:rsidRPr="00514F1A" w:rsidRDefault="00F073D8" w:rsidP="00514F1A">
      <w:pPr>
        <w:spacing w:after="0" w:line="360" w:lineRule="auto"/>
        <w:jc w:val="both"/>
        <w:rPr>
          <w:rFonts w:ascii="Times New Roman" w:hAnsi="Times New Roman" w:cs="Times New Roman"/>
          <w:sz w:val="24"/>
          <w:szCs w:val="24"/>
        </w:rPr>
      </w:pPr>
    </w:p>
    <w:p w14:paraId="2108030E" w14:textId="77777777" w:rsidR="00F073D8" w:rsidRPr="00514F1A" w:rsidRDefault="00F073D8" w:rsidP="00514F1A">
      <w:pPr>
        <w:spacing w:after="0" w:line="360" w:lineRule="auto"/>
        <w:jc w:val="both"/>
        <w:rPr>
          <w:rFonts w:ascii="Times New Roman" w:hAnsi="Times New Roman" w:cs="Times New Roman"/>
          <w:sz w:val="24"/>
          <w:szCs w:val="24"/>
        </w:rPr>
      </w:pPr>
    </w:p>
    <w:p w14:paraId="3A2347C7" w14:textId="77777777" w:rsidR="00F073D8" w:rsidRPr="00514F1A" w:rsidRDefault="00F073D8" w:rsidP="00514F1A">
      <w:pPr>
        <w:spacing w:after="0" w:line="360" w:lineRule="auto"/>
        <w:jc w:val="both"/>
        <w:rPr>
          <w:rFonts w:ascii="Times New Roman" w:hAnsi="Times New Roman" w:cs="Times New Roman"/>
          <w:sz w:val="24"/>
          <w:szCs w:val="24"/>
        </w:rPr>
      </w:pPr>
    </w:p>
    <w:p w14:paraId="759A8EAA" w14:textId="77777777" w:rsidR="00F073D8" w:rsidRPr="00514F1A" w:rsidRDefault="00F073D8" w:rsidP="00514F1A">
      <w:pPr>
        <w:spacing w:after="0" w:line="360" w:lineRule="auto"/>
        <w:jc w:val="both"/>
        <w:rPr>
          <w:rFonts w:ascii="Times New Roman" w:hAnsi="Times New Roman" w:cs="Times New Roman"/>
          <w:sz w:val="24"/>
          <w:szCs w:val="24"/>
        </w:rPr>
      </w:pPr>
    </w:p>
    <w:p w14:paraId="0720B2CB" w14:textId="13413565" w:rsidR="00005180" w:rsidRPr="00514F1A" w:rsidRDefault="00005180" w:rsidP="00514F1A">
      <w:pPr>
        <w:pStyle w:val="ListParagraph"/>
        <w:numPr>
          <w:ilvl w:val="0"/>
          <w:numId w:val="4"/>
        </w:numPr>
        <w:spacing w:after="0" w:line="360" w:lineRule="auto"/>
        <w:ind w:left="0"/>
        <w:jc w:val="both"/>
        <w:rPr>
          <w:rFonts w:ascii="Times New Roman" w:hAnsi="Times New Roman" w:cs="Times New Roman"/>
          <w:sz w:val="24"/>
          <w:szCs w:val="24"/>
        </w:rPr>
      </w:pPr>
      <w:r w:rsidRPr="00514F1A">
        <w:rPr>
          <w:rFonts w:ascii="Times New Roman" w:eastAsia="SimSun" w:hAnsi="Times New Roman" w:cs="Times New Roman"/>
          <w:b/>
          <w:bCs/>
          <w:sz w:val="24"/>
          <w:szCs w:val="24"/>
        </w:rPr>
        <w:t>Protein interaction of the top 20 hub genes</w:t>
      </w:r>
    </w:p>
    <w:p w14:paraId="45DDCC31" w14:textId="60A6DD71" w:rsidR="00005180" w:rsidRPr="00514F1A" w:rsidRDefault="00005180" w:rsidP="00514F1A">
      <w:pPr>
        <w:spacing w:after="0" w:line="360" w:lineRule="auto"/>
        <w:jc w:val="both"/>
        <w:rPr>
          <w:rFonts w:ascii="Times New Roman" w:hAnsi="Times New Roman" w:cs="Times New Roman"/>
          <w:sz w:val="24"/>
          <w:szCs w:val="24"/>
        </w:rPr>
      </w:pPr>
      <w:r w:rsidRPr="00514F1A">
        <w:rPr>
          <w:rFonts w:ascii="Times New Roman" w:hAnsi="Times New Roman" w:cs="Times New Roman"/>
          <w:sz w:val="24"/>
          <w:szCs w:val="24"/>
        </w:rPr>
        <w:t>To further investigate the molecular connectivity and potential cooperative roles of the hub genes, a protein–protein interaction (PPI) network was constructed for the top 20 hub genes identified from the broader network analysis (Figure S3). These hub genes were prioritized based on degree, closeness, and betweenness centrality measures using Cytoscape</w:t>
      </w:r>
    </w:p>
    <w:p w14:paraId="6D76B0C5" w14:textId="77777777" w:rsidR="00005180" w:rsidRPr="00514F1A" w:rsidRDefault="00005180" w:rsidP="00514F1A">
      <w:pPr>
        <w:spacing w:after="0" w:line="360" w:lineRule="auto"/>
        <w:jc w:val="both"/>
        <w:rPr>
          <w:rFonts w:ascii="Times New Roman" w:hAnsi="Times New Roman" w:cs="Times New Roman"/>
          <w:noProof/>
          <w:sz w:val="24"/>
          <w:szCs w:val="24"/>
        </w:rPr>
      </w:pPr>
    </w:p>
    <w:p w14:paraId="25B2359E" w14:textId="6824F923" w:rsidR="00AE37B2" w:rsidRPr="00514F1A" w:rsidRDefault="00AE37B2" w:rsidP="00514F1A">
      <w:pPr>
        <w:spacing w:after="0" w:line="360" w:lineRule="auto"/>
        <w:jc w:val="both"/>
        <w:rPr>
          <w:rFonts w:ascii="Times New Roman" w:hAnsi="Times New Roman" w:cs="Times New Roman"/>
          <w:sz w:val="24"/>
          <w:szCs w:val="24"/>
        </w:rPr>
      </w:pPr>
      <w:r w:rsidRPr="00514F1A">
        <w:rPr>
          <w:rFonts w:ascii="Times New Roman" w:hAnsi="Times New Roman" w:cs="Times New Roman"/>
          <w:noProof/>
          <w:sz w:val="24"/>
          <w:szCs w:val="24"/>
        </w:rPr>
        <w:drawing>
          <wp:inline distT="0" distB="0" distL="0" distR="0" wp14:anchorId="3004F736" wp14:editId="498C8C89">
            <wp:extent cx="4777740" cy="4318074"/>
            <wp:effectExtent l="0" t="0" r="381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84016" cy="4323746"/>
                    </a:xfrm>
                    <a:prstGeom prst="rect">
                      <a:avLst/>
                    </a:prstGeom>
                    <a:noFill/>
                    <a:ln>
                      <a:noFill/>
                    </a:ln>
                  </pic:spPr>
                </pic:pic>
              </a:graphicData>
            </a:graphic>
          </wp:inline>
        </w:drawing>
      </w:r>
    </w:p>
    <w:p w14:paraId="322E05EA" w14:textId="5FE076ED" w:rsidR="00AE37B2" w:rsidRPr="00514F1A" w:rsidRDefault="00833E75" w:rsidP="00514F1A">
      <w:pPr>
        <w:spacing w:after="0" w:line="360" w:lineRule="auto"/>
        <w:jc w:val="both"/>
        <w:rPr>
          <w:rFonts w:ascii="Times New Roman" w:eastAsia="SimSun" w:hAnsi="Times New Roman" w:cs="Times New Roman"/>
          <w:b/>
          <w:sz w:val="24"/>
          <w:szCs w:val="24"/>
        </w:rPr>
        <w:sectPr w:rsidR="00AE37B2" w:rsidRPr="00514F1A">
          <w:pgSz w:w="12240" w:h="15840"/>
          <w:pgMar w:top="1440" w:right="1440" w:bottom="1440" w:left="1440" w:header="720" w:footer="720" w:gutter="0"/>
          <w:cols w:space="720"/>
          <w:docGrid w:linePitch="360"/>
        </w:sectPr>
      </w:pPr>
      <w:r w:rsidRPr="00514F1A">
        <w:rPr>
          <w:rFonts w:ascii="Times New Roman" w:eastAsia="SimSun" w:hAnsi="Times New Roman" w:cs="Times New Roman"/>
          <w:b/>
          <w:sz w:val="24"/>
          <w:szCs w:val="24"/>
        </w:rPr>
        <w:t xml:space="preserve"> Figure S3</w:t>
      </w:r>
      <w:r w:rsidRPr="00514F1A">
        <w:rPr>
          <w:rFonts w:ascii="Times New Roman" w:eastAsia="SimSun" w:hAnsi="Times New Roman" w:cs="Times New Roman"/>
          <w:sz w:val="24"/>
          <w:szCs w:val="24"/>
        </w:rPr>
        <w:t xml:space="preserve">: Protein-protein interaction of </w:t>
      </w:r>
      <w:r w:rsidR="00E34B67" w:rsidRPr="00514F1A">
        <w:rPr>
          <w:rFonts w:ascii="Times New Roman" w:eastAsia="SimSun" w:hAnsi="Times New Roman" w:cs="Times New Roman"/>
          <w:sz w:val="24"/>
          <w:szCs w:val="24"/>
        </w:rPr>
        <w:t xml:space="preserve">the </w:t>
      </w:r>
      <w:r w:rsidRPr="00514F1A">
        <w:rPr>
          <w:rFonts w:ascii="Times New Roman" w:eastAsia="SimSun" w:hAnsi="Times New Roman" w:cs="Times New Roman"/>
          <w:sz w:val="24"/>
          <w:szCs w:val="24"/>
        </w:rPr>
        <w:t xml:space="preserve">top 20 </w:t>
      </w:r>
      <w:r w:rsidR="00E34B67" w:rsidRPr="00514F1A">
        <w:rPr>
          <w:rFonts w:ascii="Times New Roman" w:eastAsia="SimSun" w:hAnsi="Times New Roman" w:cs="Times New Roman"/>
          <w:sz w:val="24"/>
          <w:szCs w:val="24"/>
        </w:rPr>
        <w:t>hub</w:t>
      </w:r>
      <w:r w:rsidRPr="00514F1A">
        <w:rPr>
          <w:rFonts w:ascii="Times New Roman" w:eastAsia="SimSun" w:hAnsi="Times New Roman" w:cs="Times New Roman"/>
          <w:sz w:val="24"/>
          <w:szCs w:val="24"/>
        </w:rPr>
        <w:t xml:space="preserve"> genes identified based on degree, closeness</w:t>
      </w:r>
      <w:r w:rsidR="00E34B67" w:rsidRPr="00514F1A">
        <w:rPr>
          <w:rFonts w:ascii="Times New Roman" w:eastAsia="SimSun" w:hAnsi="Times New Roman" w:cs="Times New Roman"/>
          <w:sz w:val="24"/>
          <w:szCs w:val="24"/>
        </w:rPr>
        <w:t>,</w:t>
      </w:r>
      <w:r w:rsidRPr="00514F1A">
        <w:rPr>
          <w:rFonts w:ascii="Times New Roman" w:eastAsia="SimSun" w:hAnsi="Times New Roman" w:cs="Times New Roman"/>
          <w:sz w:val="24"/>
          <w:szCs w:val="24"/>
        </w:rPr>
        <w:t xml:space="preserve"> and betweenness using </w:t>
      </w:r>
      <w:proofErr w:type="spellStart"/>
      <w:r w:rsidRPr="00514F1A">
        <w:rPr>
          <w:rFonts w:ascii="Times New Roman" w:eastAsia="SimSun" w:hAnsi="Times New Roman" w:cs="Times New Roman"/>
          <w:sz w:val="24"/>
          <w:szCs w:val="24"/>
        </w:rPr>
        <w:t>cyt</w:t>
      </w:r>
      <w:r w:rsidR="00E34B67" w:rsidRPr="00514F1A">
        <w:rPr>
          <w:rFonts w:ascii="Times New Roman" w:eastAsia="SimSun" w:hAnsi="Times New Roman" w:cs="Times New Roman"/>
          <w:sz w:val="24"/>
          <w:szCs w:val="24"/>
        </w:rPr>
        <w:t>oscape</w:t>
      </w:r>
      <w:proofErr w:type="spellEnd"/>
      <w:r w:rsidR="00E34B67" w:rsidRPr="00514F1A">
        <w:rPr>
          <w:rFonts w:ascii="Times New Roman" w:eastAsia="SimSun" w:hAnsi="Times New Roman" w:cs="Times New Roman"/>
          <w:sz w:val="24"/>
          <w:szCs w:val="24"/>
        </w:rPr>
        <w:t>. The black lines between nodes represent genes that are co-expressed across several experiments, the purple line indicates experimentally determined interaction between genes, the yellow lines indicate genes that have been frequently mentioned together, and the light blue lines indicate genes that show interaction based on curated data sources</w:t>
      </w:r>
    </w:p>
    <w:p w14:paraId="36075D43" w14:textId="7C4CB651" w:rsidR="00F073D8" w:rsidRPr="00514F1A" w:rsidRDefault="00F073D8" w:rsidP="00514F1A">
      <w:pPr>
        <w:pStyle w:val="ListParagraph"/>
        <w:numPr>
          <w:ilvl w:val="0"/>
          <w:numId w:val="4"/>
        </w:numPr>
        <w:spacing w:after="0" w:line="360" w:lineRule="auto"/>
        <w:ind w:left="0"/>
        <w:jc w:val="both"/>
        <w:rPr>
          <w:rFonts w:ascii="Times New Roman" w:hAnsi="Times New Roman" w:cs="Times New Roman"/>
          <w:b/>
          <w:bCs/>
          <w:sz w:val="24"/>
          <w:szCs w:val="24"/>
        </w:rPr>
      </w:pPr>
      <w:r w:rsidRPr="00514F1A">
        <w:rPr>
          <w:rFonts w:ascii="Times New Roman" w:hAnsi="Times New Roman" w:cs="Times New Roman"/>
          <w:b/>
          <w:bCs/>
          <w:sz w:val="24"/>
          <w:szCs w:val="24"/>
        </w:rPr>
        <w:t>Molecular Docking</w:t>
      </w:r>
    </w:p>
    <w:p w14:paraId="4EE9849A" w14:textId="7E11EBBD" w:rsidR="00F073D8" w:rsidRPr="00514F1A" w:rsidRDefault="00F073D8" w:rsidP="00514F1A">
      <w:pPr>
        <w:spacing w:after="0" w:line="360" w:lineRule="auto"/>
        <w:jc w:val="both"/>
        <w:rPr>
          <w:rFonts w:ascii="Times New Roman" w:hAnsi="Times New Roman" w:cs="Times New Roman"/>
          <w:sz w:val="24"/>
          <w:szCs w:val="24"/>
        </w:rPr>
      </w:pPr>
      <w:r w:rsidRPr="00514F1A">
        <w:rPr>
          <w:rFonts w:ascii="Times New Roman" w:hAnsi="Times New Roman" w:cs="Times New Roman"/>
          <w:sz w:val="24"/>
          <w:szCs w:val="24"/>
        </w:rPr>
        <w:t xml:space="preserve">Each compound </w:t>
      </w:r>
      <w:proofErr w:type="gramStart"/>
      <w:r w:rsidRPr="00514F1A">
        <w:rPr>
          <w:rFonts w:ascii="Times New Roman" w:hAnsi="Times New Roman" w:cs="Times New Roman"/>
          <w:sz w:val="24"/>
          <w:szCs w:val="24"/>
        </w:rPr>
        <w:t>were</w:t>
      </w:r>
      <w:proofErr w:type="gramEnd"/>
      <w:r w:rsidRPr="00514F1A">
        <w:rPr>
          <w:rFonts w:ascii="Times New Roman" w:hAnsi="Times New Roman" w:cs="Times New Roman"/>
          <w:sz w:val="24"/>
          <w:szCs w:val="24"/>
        </w:rPr>
        <w:t xml:space="preserve"> matched with their target protein from our hub genes identified and used for molecular docking studies.</w:t>
      </w:r>
    </w:p>
    <w:p w14:paraId="29848463" w14:textId="73CB75F4" w:rsidR="00FE343B" w:rsidRPr="00514F1A" w:rsidRDefault="00FE343B" w:rsidP="00514F1A">
      <w:pPr>
        <w:spacing w:after="0" w:line="360" w:lineRule="auto"/>
        <w:jc w:val="both"/>
        <w:rPr>
          <w:rFonts w:ascii="Times New Roman" w:hAnsi="Times New Roman" w:cs="Times New Roman"/>
          <w:sz w:val="24"/>
          <w:szCs w:val="24"/>
        </w:rPr>
      </w:pPr>
      <w:r w:rsidRPr="00514F1A">
        <w:rPr>
          <w:rFonts w:ascii="Times New Roman" w:hAnsi="Times New Roman" w:cs="Times New Roman"/>
          <w:b/>
          <w:bCs/>
          <w:sz w:val="24"/>
          <w:szCs w:val="24"/>
        </w:rPr>
        <w:t>Table 1:</w:t>
      </w:r>
      <w:r w:rsidRPr="00514F1A">
        <w:rPr>
          <w:rFonts w:ascii="Times New Roman" w:hAnsi="Times New Roman" w:cs="Times New Roman"/>
          <w:sz w:val="24"/>
          <w:szCs w:val="24"/>
        </w:rPr>
        <w:t xml:space="preserve"> Parkinson-related targets and compounds</w:t>
      </w:r>
    </w:p>
    <w:tbl>
      <w:tblPr>
        <w:tblStyle w:val="TableGrid"/>
        <w:tblW w:w="9609" w:type="dxa"/>
        <w:tblInd w:w="-5" w:type="dxa"/>
        <w:tblLook w:val="04A0" w:firstRow="1" w:lastRow="0" w:firstColumn="1" w:lastColumn="0" w:noHBand="0" w:noVBand="1"/>
      </w:tblPr>
      <w:tblGrid>
        <w:gridCol w:w="4804"/>
        <w:gridCol w:w="4805"/>
      </w:tblGrid>
      <w:tr w:rsidR="00FE343B" w:rsidRPr="00514F1A" w14:paraId="2FFBD5C8" w14:textId="77777777" w:rsidTr="00F073D8">
        <w:trPr>
          <w:trHeight w:val="433"/>
        </w:trPr>
        <w:tc>
          <w:tcPr>
            <w:tcW w:w="4804" w:type="dxa"/>
          </w:tcPr>
          <w:p w14:paraId="5BD7933E" w14:textId="77777777" w:rsidR="00FE343B" w:rsidRPr="00514F1A" w:rsidRDefault="00FE343B" w:rsidP="00514F1A">
            <w:pPr>
              <w:spacing w:line="360" w:lineRule="auto"/>
              <w:jc w:val="both"/>
              <w:rPr>
                <w:rFonts w:ascii="Times New Roman" w:hAnsi="Times New Roman" w:cs="Times New Roman"/>
                <w:sz w:val="24"/>
                <w:szCs w:val="24"/>
              </w:rPr>
            </w:pPr>
            <w:r w:rsidRPr="00514F1A">
              <w:rPr>
                <w:rFonts w:ascii="Times New Roman" w:eastAsia="Times New Roman" w:hAnsi="Times New Roman" w:cs="Times New Roman"/>
                <w:b/>
                <w:bCs/>
                <w:color w:val="000000"/>
                <w:sz w:val="24"/>
                <w:szCs w:val="24"/>
              </w:rPr>
              <w:t>Compounds</w:t>
            </w:r>
          </w:p>
        </w:tc>
        <w:tc>
          <w:tcPr>
            <w:tcW w:w="4805" w:type="dxa"/>
          </w:tcPr>
          <w:p w14:paraId="7838A416" w14:textId="77777777" w:rsidR="00FE343B" w:rsidRPr="00514F1A" w:rsidRDefault="00FE343B" w:rsidP="00514F1A">
            <w:pPr>
              <w:spacing w:line="360" w:lineRule="auto"/>
              <w:jc w:val="both"/>
              <w:rPr>
                <w:rFonts w:ascii="Times New Roman" w:hAnsi="Times New Roman" w:cs="Times New Roman"/>
                <w:sz w:val="24"/>
                <w:szCs w:val="24"/>
              </w:rPr>
            </w:pPr>
            <w:r w:rsidRPr="00514F1A">
              <w:rPr>
                <w:rFonts w:ascii="Times New Roman" w:eastAsia="Times New Roman" w:hAnsi="Times New Roman" w:cs="Times New Roman"/>
                <w:b/>
                <w:bCs/>
                <w:color w:val="000000"/>
                <w:sz w:val="24"/>
                <w:szCs w:val="24"/>
              </w:rPr>
              <w:t>Parkinson Disease</w:t>
            </w:r>
          </w:p>
        </w:tc>
      </w:tr>
      <w:tr w:rsidR="00FE343B" w:rsidRPr="00514F1A" w14:paraId="6406208A" w14:textId="77777777" w:rsidTr="00F073D8">
        <w:trPr>
          <w:trHeight w:val="433"/>
        </w:trPr>
        <w:tc>
          <w:tcPr>
            <w:tcW w:w="4804" w:type="dxa"/>
          </w:tcPr>
          <w:p w14:paraId="6B4521CF" w14:textId="77777777" w:rsidR="00FE343B" w:rsidRPr="00514F1A" w:rsidRDefault="00FE343B" w:rsidP="00514F1A">
            <w:pPr>
              <w:spacing w:line="360" w:lineRule="auto"/>
              <w:jc w:val="both"/>
              <w:rPr>
                <w:rFonts w:ascii="Times New Roman" w:hAnsi="Times New Roman" w:cs="Times New Roman"/>
                <w:sz w:val="24"/>
                <w:szCs w:val="24"/>
              </w:rPr>
            </w:pPr>
            <w:r w:rsidRPr="00514F1A">
              <w:rPr>
                <w:rFonts w:ascii="Times New Roman" w:eastAsia="Times New Roman" w:hAnsi="Times New Roman" w:cs="Times New Roman"/>
                <w:color w:val="000000"/>
                <w:sz w:val="24"/>
                <w:szCs w:val="24"/>
              </w:rPr>
              <w:t>Caffeic Acid</w:t>
            </w:r>
          </w:p>
        </w:tc>
        <w:tc>
          <w:tcPr>
            <w:tcW w:w="4805" w:type="dxa"/>
          </w:tcPr>
          <w:p w14:paraId="562EFF54" w14:textId="77777777" w:rsidR="00FE343B" w:rsidRPr="00514F1A" w:rsidRDefault="00FE343B" w:rsidP="00514F1A">
            <w:pPr>
              <w:spacing w:line="360" w:lineRule="auto"/>
              <w:jc w:val="both"/>
              <w:rPr>
                <w:rFonts w:ascii="Times New Roman" w:hAnsi="Times New Roman" w:cs="Times New Roman"/>
                <w:sz w:val="24"/>
                <w:szCs w:val="24"/>
              </w:rPr>
            </w:pPr>
            <w:r w:rsidRPr="00514F1A">
              <w:rPr>
                <w:rFonts w:ascii="Times New Roman" w:eastAsia="Times New Roman" w:hAnsi="Times New Roman" w:cs="Times New Roman"/>
                <w:color w:val="000000"/>
                <w:sz w:val="24"/>
                <w:szCs w:val="24"/>
                <w:lang w:val="de-DE"/>
              </w:rPr>
              <w:t>EGFR, ESR1</w:t>
            </w:r>
          </w:p>
        </w:tc>
      </w:tr>
      <w:tr w:rsidR="00FE343B" w:rsidRPr="00514F1A" w14:paraId="05E2D811" w14:textId="77777777" w:rsidTr="00F073D8">
        <w:trPr>
          <w:trHeight w:val="413"/>
        </w:trPr>
        <w:tc>
          <w:tcPr>
            <w:tcW w:w="4804" w:type="dxa"/>
          </w:tcPr>
          <w:p w14:paraId="5A1B44F8" w14:textId="77777777" w:rsidR="00FE343B" w:rsidRPr="00514F1A" w:rsidRDefault="00FE343B" w:rsidP="00514F1A">
            <w:pPr>
              <w:spacing w:line="360" w:lineRule="auto"/>
              <w:jc w:val="both"/>
              <w:rPr>
                <w:rFonts w:ascii="Times New Roman" w:hAnsi="Times New Roman" w:cs="Times New Roman"/>
                <w:sz w:val="24"/>
                <w:szCs w:val="24"/>
              </w:rPr>
            </w:pPr>
            <w:r w:rsidRPr="00514F1A">
              <w:rPr>
                <w:rFonts w:ascii="Times New Roman" w:eastAsia="Times New Roman" w:hAnsi="Times New Roman" w:cs="Times New Roman"/>
                <w:color w:val="000000"/>
                <w:sz w:val="24"/>
                <w:szCs w:val="24"/>
              </w:rPr>
              <w:t>Chlorogenic Acid</w:t>
            </w:r>
          </w:p>
        </w:tc>
        <w:tc>
          <w:tcPr>
            <w:tcW w:w="4805" w:type="dxa"/>
          </w:tcPr>
          <w:p w14:paraId="6331BB14" w14:textId="77777777" w:rsidR="00FE343B" w:rsidRPr="00514F1A" w:rsidRDefault="00FE343B" w:rsidP="00514F1A">
            <w:pPr>
              <w:spacing w:line="360" w:lineRule="auto"/>
              <w:jc w:val="both"/>
              <w:rPr>
                <w:rFonts w:ascii="Times New Roman" w:hAnsi="Times New Roman" w:cs="Times New Roman"/>
                <w:sz w:val="24"/>
                <w:szCs w:val="24"/>
              </w:rPr>
            </w:pPr>
            <w:r w:rsidRPr="00514F1A">
              <w:rPr>
                <w:rFonts w:ascii="Times New Roman" w:eastAsia="Times New Roman" w:hAnsi="Times New Roman" w:cs="Times New Roman"/>
                <w:color w:val="000000"/>
                <w:sz w:val="24"/>
                <w:szCs w:val="24"/>
              </w:rPr>
              <w:t>CASP3, MAPK8, SRC</w:t>
            </w:r>
          </w:p>
        </w:tc>
      </w:tr>
      <w:tr w:rsidR="00FE343B" w:rsidRPr="00514F1A" w14:paraId="10AFF752" w14:textId="77777777" w:rsidTr="00F073D8">
        <w:trPr>
          <w:trHeight w:val="433"/>
        </w:trPr>
        <w:tc>
          <w:tcPr>
            <w:tcW w:w="4804" w:type="dxa"/>
          </w:tcPr>
          <w:p w14:paraId="6A87C9EF" w14:textId="77777777" w:rsidR="00FE343B" w:rsidRPr="00514F1A" w:rsidRDefault="00FE343B" w:rsidP="00514F1A">
            <w:pPr>
              <w:spacing w:line="360" w:lineRule="auto"/>
              <w:jc w:val="both"/>
              <w:rPr>
                <w:rFonts w:ascii="Times New Roman" w:hAnsi="Times New Roman" w:cs="Times New Roman"/>
                <w:sz w:val="24"/>
                <w:szCs w:val="24"/>
              </w:rPr>
            </w:pPr>
            <w:r w:rsidRPr="00514F1A">
              <w:rPr>
                <w:rFonts w:ascii="Times New Roman" w:eastAsia="Times New Roman" w:hAnsi="Times New Roman" w:cs="Times New Roman"/>
                <w:color w:val="000000"/>
                <w:sz w:val="24"/>
                <w:szCs w:val="24"/>
              </w:rPr>
              <w:t>Ellagic Acid</w:t>
            </w:r>
          </w:p>
        </w:tc>
        <w:tc>
          <w:tcPr>
            <w:tcW w:w="4805" w:type="dxa"/>
            <w:vAlign w:val="center"/>
          </w:tcPr>
          <w:p w14:paraId="765AB3C8" w14:textId="77777777" w:rsidR="00FE343B" w:rsidRPr="00514F1A" w:rsidRDefault="00FE343B" w:rsidP="00514F1A">
            <w:pPr>
              <w:spacing w:line="360" w:lineRule="auto"/>
              <w:jc w:val="both"/>
              <w:rPr>
                <w:rFonts w:ascii="Times New Roman" w:hAnsi="Times New Roman" w:cs="Times New Roman"/>
                <w:sz w:val="24"/>
                <w:szCs w:val="24"/>
              </w:rPr>
            </w:pPr>
            <w:r w:rsidRPr="00514F1A">
              <w:rPr>
                <w:rFonts w:ascii="Times New Roman" w:eastAsia="Times New Roman" w:hAnsi="Times New Roman" w:cs="Times New Roman"/>
                <w:color w:val="000000"/>
                <w:sz w:val="24"/>
                <w:szCs w:val="24"/>
              </w:rPr>
              <w:t>EGFR, ESR1, SRC,</w:t>
            </w:r>
          </w:p>
        </w:tc>
      </w:tr>
      <w:tr w:rsidR="00FE343B" w:rsidRPr="00514F1A" w14:paraId="521FCDAC" w14:textId="77777777" w:rsidTr="00F073D8">
        <w:trPr>
          <w:trHeight w:val="433"/>
        </w:trPr>
        <w:tc>
          <w:tcPr>
            <w:tcW w:w="4804" w:type="dxa"/>
            <w:vAlign w:val="center"/>
          </w:tcPr>
          <w:p w14:paraId="49AFBB69" w14:textId="77777777" w:rsidR="00FE343B" w:rsidRPr="00514F1A" w:rsidRDefault="00FE343B" w:rsidP="00514F1A">
            <w:pPr>
              <w:spacing w:line="360" w:lineRule="auto"/>
              <w:jc w:val="both"/>
              <w:rPr>
                <w:rFonts w:ascii="Times New Roman" w:hAnsi="Times New Roman" w:cs="Times New Roman"/>
                <w:sz w:val="24"/>
                <w:szCs w:val="24"/>
              </w:rPr>
            </w:pPr>
            <w:r w:rsidRPr="00514F1A">
              <w:rPr>
                <w:rFonts w:ascii="Times New Roman" w:eastAsia="Times New Roman" w:hAnsi="Times New Roman" w:cs="Times New Roman"/>
                <w:color w:val="000000"/>
                <w:sz w:val="24"/>
                <w:szCs w:val="24"/>
              </w:rPr>
              <w:t>Epigallocatechin</w:t>
            </w:r>
          </w:p>
        </w:tc>
        <w:tc>
          <w:tcPr>
            <w:tcW w:w="4805" w:type="dxa"/>
          </w:tcPr>
          <w:p w14:paraId="75B594F1" w14:textId="77777777" w:rsidR="00FE343B" w:rsidRPr="00514F1A" w:rsidRDefault="00FE343B" w:rsidP="00514F1A">
            <w:pPr>
              <w:spacing w:line="360" w:lineRule="auto"/>
              <w:jc w:val="both"/>
              <w:rPr>
                <w:rFonts w:ascii="Times New Roman" w:hAnsi="Times New Roman" w:cs="Times New Roman"/>
                <w:sz w:val="24"/>
                <w:szCs w:val="24"/>
              </w:rPr>
            </w:pPr>
            <w:r w:rsidRPr="00514F1A">
              <w:rPr>
                <w:rFonts w:ascii="Times New Roman" w:eastAsia="Times New Roman" w:hAnsi="Times New Roman" w:cs="Times New Roman"/>
                <w:color w:val="000000"/>
                <w:sz w:val="24"/>
                <w:szCs w:val="24"/>
              </w:rPr>
              <w:t>TNF</w:t>
            </w:r>
          </w:p>
        </w:tc>
      </w:tr>
      <w:tr w:rsidR="00FE343B" w:rsidRPr="00514F1A" w14:paraId="71A0DFEB" w14:textId="77777777" w:rsidTr="00F073D8">
        <w:trPr>
          <w:trHeight w:val="433"/>
        </w:trPr>
        <w:tc>
          <w:tcPr>
            <w:tcW w:w="4804" w:type="dxa"/>
          </w:tcPr>
          <w:p w14:paraId="29221D85" w14:textId="77777777" w:rsidR="00FE343B" w:rsidRPr="00514F1A" w:rsidRDefault="00FE343B" w:rsidP="00514F1A">
            <w:pPr>
              <w:spacing w:line="360" w:lineRule="auto"/>
              <w:jc w:val="both"/>
              <w:rPr>
                <w:rFonts w:ascii="Times New Roman" w:hAnsi="Times New Roman" w:cs="Times New Roman"/>
                <w:sz w:val="24"/>
                <w:szCs w:val="24"/>
              </w:rPr>
            </w:pPr>
            <w:r w:rsidRPr="00514F1A">
              <w:rPr>
                <w:rFonts w:ascii="Times New Roman" w:eastAsia="Times New Roman" w:hAnsi="Times New Roman" w:cs="Times New Roman"/>
                <w:color w:val="000000"/>
                <w:sz w:val="24"/>
                <w:szCs w:val="24"/>
              </w:rPr>
              <w:t>Gallic Acid</w:t>
            </w:r>
          </w:p>
        </w:tc>
        <w:tc>
          <w:tcPr>
            <w:tcW w:w="4805" w:type="dxa"/>
          </w:tcPr>
          <w:p w14:paraId="1CD34F96" w14:textId="77777777" w:rsidR="00FE343B" w:rsidRPr="00514F1A" w:rsidRDefault="00FE343B" w:rsidP="00514F1A">
            <w:pPr>
              <w:spacing w:line="360" w:lineRule="auto"/>
              <w:jc w:val="both"/>
              <w:rPr>
                <w:rFonts w:ascii="Times New Roman" w:hAnsi="Times New Roman" w:cs="Times New Roman"/>
                <w:sz w:val="24"/>
                <w:szCs w:val="24"/>
              </w:rPr>
            </w:pPr>
            <w:r w:rsidRPr="00514F1A">
              <w:rPr>
                <w:rFonts w:ascii="Times New Roman" w:eastAsia="Times New Roman" w:hAnsi="Times New Roman" w:cs="Times New Roman"/>
                <w:color w:val="000000"/>
                <w:sz w:val="24"/>
                <w:szCs w:val="24"/>
              </w:rPr>
              <w:t>CASP3, EGFR, SRC</w:t>
            </w:r>
          </w:p>
        </w:tc>
      </w:tr>
      <w:tr w:rsidR="00FE343B" w:rsidRPr="00514F1A" w14:paraId="1C4EFD9C" w14:textId="77777777" w:rsidTr="00F073D8">
        <w:trPr>
          <w:trHeight w:val="433"/>
        </w:trPr>
        <w:tc>
          <w:tcPr>
            <w:tcW w:w="4804" w:type="dxa"/>
          </w:tcPr>
          <w:p w14:paraId="43BB1D94" w14:textId="77777777" w:rsidR="00FE343B" w:rsidRPr="00514F1A" w:rsidRDefault="00FE343B" w:rsidP="00514F1A">
            <w:pPr>
              <w:spacing w:line="360" w:lineRule="auto"/>
              <w:jc w:val="both"/>
              <w:rPr>
                <w:rFonts w:ascii="Times New Roman" w:hAnsi="Times New Roman" w:cs="Times New Roman"/>
                <w:sz w:val="24"/>
                <w:szCs w:val="24"/>
              </w:rPr>
            </w:pPr>
            <w:proofErr w:type="spellStart"/>
            <w:r w:rsidRPr="00514F1A">
              <w:rPr>
                <w:rFonts w:ascii="Times New Roman" w:eastAsia="Times New Roman" w:hAnsi="Times New Roman" w:cs="Times New Roman"/>
                <w:color w:val="000000"/>
                <w:sz w:val="24"/>
                <w:szCs w:val="24"/>
              </w:rPr>
              <w:t>Isoquercitrin</w:t>
            </w:r>
            <w:proofErr w:type="spellEnd"/>
          </w:p>
        </w:tc>
        <w:tc>
          <w:tcPr>
            <w:tcW w:w="4805" w:type="dxa"/>
          </w:tcPr>
          <w:p w14:paraId="7C6A7D1F" w14:textId="77777777" w:rsidR="00FE343B" w:rsidRPr="00514F1A" w:rsidRDefault="00FE343B" w:rsidP="00514F1A">
            <w:pPr>
              <w:spacing w:line="360" w:lineRule="auto"/>
              <w:jc w:val="both"/>
              <w:rPr>
                <w:rFonts w:ascii="Times New Roman" w:hAnsi="Times New Roman" w:cs="Times New Roman"/>
                <w:sz w:val="24"/>
                <w:szCs w:val="24"/>
              </w:rPr>
            </w:pPr>
            <w:r w:rsidRPr="00514F1A">
              <w:rPr>
                <w:rFonts w:ascii="Times New Roman" w:eastAsia="Times New Roman" w:hAnsi="Times New Roman" w:cs="Times New Roman"/>
                <w:color w:val="000000"/>
                <w:sz w:val="24"/>
                <w:szCs w:val="24"/>
              </w:rPr>
              <w:t>AKT1, TNF</w:t>
            </w:r>
          </w:p>
        </w:tc>
      </w:tr>
      <w:tr w:rsidR="00FE343B" w:rsidRPr="00514F1A" w14:paraId="1D94D216" w14:textId="77777777" w:rsidTr="00F073D8">
        <w:trPr>
          <w:trHeight w:val="433"/>
        </w:trPr>
        <w:tc>
          <w:tcPr>
            <w:tcW w:w="4804" w:type="dxa"/>
          </w:tcPr>
          <w:p w14:paraId="1D63FA27" w14:textId="77777777" w:rsidR="00FE343B" w:rsidRPr="00514F1A" w:rsidRDefault="00FE343B" w:rsidP="00514F1A">
            <w:pPr>
              <w:spacing w:line="360" w:lineRule="auto"/>
              <w:jc w:val="both"/>
              <w:rPr>
                <w:rFonts w:ascii="Times New Roman" w:hAnsi="Times New Roman" w:cs="Times New Roman"/>
                <w:sz w:val="24"/>
                <w:szCs w:val="24"/>
              </w:rPr>
            </w:pPr>
            <w:r w:rsidRPr="00514F1A">
              <w:rPr>
                <w:rFonts w:ascii="Times New Roman" w:eastAsia="Times New Roman" w:hAnsi="Times New Roman" w:cs="Times New Roman"/>
                <w:color w:val="000000"/>
                <w:sz w:val="24"/>
                <w:szCs w:val="24"/>
              </w:rPr>
              <w:t>Kaempferol</w:t>
            </w:r>
          </w:p>
        </w:tc>
        <w:tc>
          <w:tcPr>
            <w:tcW w:w="4805" w:type="dxa"/>
          </w:tcPr>
          <w:p w14:paraId="1F8071A7" w14:textId="77777777" w:rsidR="00FE343B" w:rsidRPr="00514F1A" w:rsidRDefault="00FE343B" w:rsidP="00514F1A">
            <w:pPr>
              <w:spacing w:line="360" w:lineRule="auto"/>
              <w:jc w:val="both"/>
              <w:rPr>
                <w:rFonts w:ascii="Times New Roman" w:hAnsi="Times New Roman" w:cs="Times New Roman"/>
                <w:sz w:val="24"/>
                <w:szCs w:val="24"/>
              </w:rPr>
            </w:pPr>
            <w:r w:rsidRPr="00514F1A">
              <w:rPr>
                <w:rFonts w:ascii="Times New Roman" w:eastAsia="Times New Roman" w:hAnsi="Times New Roman" w:cs="Times New Roman"/>
                <w:color w:val="000000"/>
                <w:sz w:val="24"/>
                <w:szCs w:val="24"/>
              </w:rPr>
              <w:t>EGFR, SRC, ESR1,</w:t>
            </w:r>
          </w:p>
        </w:tc>
      </w:tr>
      <w:tr w:rsidR="00FE343B" w:rsidRPr="00514F1A" w14:paraId="66AEC500" w14:textId="77777777" w:rsidTr="00F073D8">
        <w:trPr>
          <w:trHeight w:val="413"/>
        </w:trPr>
        <w:tc>
          <w:tcPr>
            <w:tcW w:w="4804" w:type="dxa"/>
          </w:tcPr>
          <w:p w14:paraId="714C553B" w14:textId="77777777" w:rsidR="00FE343B" w:rsidRPr="00514F1A" w:rsidRDefault="00FE343B" w:rsidP="00514F1A">
            <w:pPr>
              <w:spacing w:line="360" w:lineRule="auto"/>
              <w:jc w:val="both"/>
              <w:rPr>
                <w:rFonts w:ascii="Times New Roman" w:hAnsi="Times New Roman" w:cs="Times New Roman"/>
                <w:sz w:val="24"/>
                <w:szCs w:val="24"/>
              </w:rPr>
            </w:pPr>
            <w:r w:rsidRPr="00514F1A">
              <w:rPr>
                <w:rFonts w:ascii="Times New Roman" w:eastAsia="Times New Roman" w:hAnsi="Times New Roman" w:cs="Times New Roman"/>
                <w:color w:val="000000"/>
                <w:sz w:val="24"/>
                <w:szCs w:val="24"/>
              </w:rPr>
              <w:t>Quercetin</w:t>
            </w:r>
          </w:p>
        </w:tc>
        <w:tc>
          <w:tcPr>
            <w:tcW w:w="4805" w:type="dxa"/>
          </w:tcPr>
          <w:p w14:paraId="186E9DF7" w14:textId="77777777" w:rsidR="00FE343B" w:rsidRPr="00514F1A" w:rsidRDefault="00FE343B" w:rsidP="00514F1A">
            <w:pPr>
              <w:spacing w:line="360" w:lineRule="auto"/>
              <w:jc w:val="both"/>
              <w:rPr>
                <w:rFonts w:ascii="Times New Roman" w:hAnsi="Times New Roman" w:cs="Times New Roman"/>
                <w:sz w:val="24"/>
                <w:szCs w:val="24"/>
              </w:rPr>
            </w:pPr>
            <w:r w:rsidRPr="00514F1A">
              <w:rPr>
                <w:rFonts w:ascii="Times New Roman" w:eastAsia="Times New Roman" w:hAnsi="Times New Roman" w:cs="Times New Roman"/>
                <w:color w:val="000000"/>
                <w:sz w:val="24"/>
                <w:szCs w:val="24"/>
              </w:rPr>
              <w:t>EGFR, SRC</w:t>
            </w:r>
          </w:p>
        </w:tc>
      </w:tr>
      <w:tr w:rsidR="00FE343B" w:rsidRPr="00514F1A" w14:paraId="1883719D" w14:textId="77777777" w:rsidTr="00F073D8">
        <w:trPr>
          <w:trHeight w:val="503"/>
        </w:trPr>
        <w:tc>
          <w:tcPr>
            <w:tcW w:w="4804" w:type="dxa"/>
          </w:tcPr>
          <w:p w14:paraId="59C87AA6" w14:textId="77777777" w:rsidR="00FE343B" w:rsidRPr="00514F1A" w:rsidRDefault="00FE343B" w:rsidP="00514F1A">
            <w:pPr>
              <w:spacing w:line="360" w:lineRule="auto"/>
              <w:jc w:val="both"/>
              <w:rPr>
                <w:rFonts w:ascii="Times New Roman" w:hAnsi="Times New Roman" w:cs="Times New Roman"/>
                <w:sz w:val="24"/>
                <w:szCs w:val="24"/>
              </w:rPr>
            </w:pPr>
            <w:r w:rsidRPr="00514F1A">
              <w:rPr>
                <w:rFonts w:ascii="Times New Roman" w:eastAsia="Times New Roman" w:hAnsi="Times New Roman" w:cs="Times New Roman"/>
                <w:color w:val="000000"/>
                <w:sz w:val="24"/>
                <w:szCs w:val="24"/>
              </w:rPr>
              <w:t>Rutin</w:t>
            </w:r>
          </w:p>
        </w:tc>
        <w:tc>
          <w:tcPr>
            <w:tcW w:w="4805" w:type="dxa"/>
            <w:vAlign w:val="center"/>
          </w:tcPr>
          <w:p w14:paraId="7B16107C" w14:textId="77777777" w:rsidR="00FE343B" w:rsidRPr="00514F1A" w:rsidRDefault="00FE343B" w:rsidP="00514F1A">
            <w:pPr>
              <w:spacing w:line="360" w:lineRule="auto"/>
              <w:jc w:val="both"/>
              <w:rPr>
                <w:rFonts w:ascii="Times New Roman" w:hAnsi="Times New Roman" w:cs="Times New Roman"/>
                <w:sz w:val="24"/>
                <w:szCs w:val="24"/>
              </w:rPr>
            </w:pPr>
            <w:r w:rsidRPr="00514F1A">
              <w:rPr>
                <w:rFonts w:ascii="Times New Roman" w:eastAsia="Times New Roman" w:hAnsi="Times New Roman" w:cs="Times New Roman"/>
                <w:color w:val="000000"/>
                <w:sz w:val="24"/>
                <w:szCs w:val="24"/>
                <w:lang w:val="de-DE"/>
              </w:rPr>
              <w:t>EGFR, ESR1, TNF, SRC, TP53</w:t>
            </w:r>
          </w:p>
        </w:tc>
      </w:tr>
    </w:tbl>
    <w:p w14:paraId="1935D247" w14:textId="77777777" w:rsidR="00FE343B" w:rsidRPr="00514F1A" w:rsidRDefault="00FE343B" w:rsidP="00514F1A">
      <w:pPr>
        <w:pStyle w:val="NormalWeb"/>
        <w:spacing w:before="0" w:beforeAutospacing="0" w:after="0" w:afterAutospacing="0" w:line="360" w:lineRule="auto"/>
        <w:jc w:val="both"/>
        <w:rPr>
          <w:b/>
          <w:bCs/>
        </w:rPr>
      </w:pPr>
    </w:p>
    <w:p w14:paraId="27A34F71" w14:textId="63DC65AF" w:rsidR="00AE37B2" w:rsidRPr="00514F1A" w:rsidRDefault="007A5E95" w:rsidP="00514F1A">
      <w:pPr>
        <w:pStyle w:val="NormalWeb"/>
        <w:spacing w:before="0" w:beforeAutospacing="0" w:after="0" w:afterAutospacing="0" w:line="360" w:lineRule="auto"/>
        <w:jc w:val="both"/>
      </w:pPr>
      <w:r w:rsidRPr="00514F1A">
        <w:rPr>
          <w:b/>
          <w:bCs/>
        </w:rPr>
        <w:t>Table S</w:t>
      </w:r>
      <w:r w:rsidR="00FE343B" w:rsidRPr="00514F1A">
        <w:rPr>
          <w:b/>
          <w:bCs/>
        </w:rPr>
        <w:t>2</w:t>
      </w:r>
      <w:r w:rsidR="00775B48" w:rsidRPr="00514F1A">
        <w:t xml:space="preserve">: Dimensions of </w:t>
      </w:r>
      <w:r w:rsidR="00362B36" w:rsidRPr="00514F1A">
        <w:t xml:space="preserve">the </w:t>
      </w:r>
      <w:r w:rsidR="00775B48" w:rsidRPr="00514F1A">
        <w:t xml:space="preserve">grid box where ligands were </w:t>
      </w:r>
      <w:r w:rsidR="00362B36" w:rsidRPr="00514F1A">
        <w:t>docked</w:t>
      </w:r>
      <w:r w:rsidR="00775B48" w:rsidRPr="00514F1A">
        <w:t xml:space="preserve"> onto proteins</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2435"/>
        <w:gridCol w:w="2348"/>
        <w:gridCol w:w="2435"/>
      </w:tblGrid>
      <w:tr w:rsidR="00F02A9A" w:rsidRPr="00514F1A" w14:paraId="573ACCD5" w14:textId="77777777" w:rsidTr="00FE343B">
        <w:trPr>
          <w:trHeight w:val="552"/>
          <w:jc w:val="center"/>
        </w:trPr>
        <w:tc>
          <w:tcPr>
            <w:tcW w:w="2520" w:type="dxa"/>
            <w:shd w:val="clear" w:color="auto" w:fill="auto"/>
            <w:noWrap/>
            <w:vAlign w:val="bottom"/>
            <w:hideMark/>
          </w:tcPr>
          <w:p w14:paraId="703C2597"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Protein</w:t>
            </w:r>
          </w:p>
        </w:tc>
        <w:tc>
          <w:tcPr>
            <w:tcW w:w="2435" w:type="dxa"/>
            <w:shd w:val="clear" w:color="auto" w:fill="auto"/>
            <w:noWrap/>
            <w:vAlign w:val="bottom"/>
            <w:hideMark/>
          </w:tcPr>
          <w:p w14:paraId="4E7B0E03" w14:textId="77777777" w:rsidR="00F02A9A" w:rsidRPr="00514F1A" w:rsidRDefault="00F02A9A" w:rsidP="00514F1A">
            <w:pPr>
              <w:spacing w:after="0" w:line="360" w:lineRule="auto"/>
              <w:jc w:val="both"/>
              <w:rPr>
                <w:rFonts w:ascii="Times New Roman" w:eastAsia="Times New Roman" w:hAnsi="Times New Roman" w:cs="Times New Roman"/>
                <w:b/>
                <w:bCs/>
                <w:color w:val="000000"/>
                <w:sz w:val="24"/>
                <w:szCs w:val="24"/>
              </w:rPr>
            </w:pPr>
            <w:r w:rsidRPr="00514F1A">
              <w:rPr>
                <w:rFonts w:ascii="Times New Roman" w:eastAsia="Times New Roman" w:hAnsi="Times New Roman" w:cs="Times New Roman"/>
                <w:b/>
                <w:bCs/>
                <w:color w:val="000000"/>
                <w:sz w:val="24"/>
                <w:szCs w:val="24"/>
              </w:rPr>
              <w:t>x</w:t>
            </w:r>
          </w:p>
        </w:tc>
        <w:tc>
          <w:tcPr>
            <w:tcW w:w="2348" w:type="dxa"/>
            <w:shd w:val="clear" w:color="auto" w:fill="auto"/>
            <w:noWrap/>
            <w:vAlign w:val="bottom"/>
            <w:hideMark/>
          </w:tcPr>
          <w:p w14:paraId="61D5622E" w14:textId="77777777" w:rsidR="00F02A9A" w:rsidRPr="00514F1A" w:rsidRDefault="00F02A9A" w:rsidP="00514F1A">
            <w:pPr>
              <w:spacing w:after="0" w:line="360" w:lineRule="auto"/>
              <w:jc w:val="both"/>
              <w:rPr>
                <w:rFonts w:ascii="Times New Roman" w:eastAsia="Times New Roman" w:hAnsi="Times New Roman" w:cs="Times New Roman"/>
                <w:b/>
                <w:bCs/>
                <w:color w:val="000000"/>
                <w:sz w:val="24"/>
                <w:szCs w:val="24"/>
              </w:rPr>
            </w:pPr>
            <w:r w:rsidRPr="00514F1A">
              <w:rPr>
                <w:rFonts w:ascii="Times New Roman" w:eastAsia="Times New Roman" w:hAnsi="Times New Roman" w:cs="Times New Roman"/>
                <w:b/>
                <w:bCs/>
                <w:color w:val="000000"/>
                <w:sz w:val="24"/>
                <w:szCs w:val="24"/>
              </w:rPr>
              <w:t>y</w:t>
            </w:r>
          </w:p>
        </w:tc>
        <w:tc>
          <w:tcPr>
            <w:tcW w:w="2435" w:type="dxa"/>
            <w:shd w:val="clear" w:color="auto" w:fill="auto"/>
            <w:noWrap/>
            <w:vAlign w:val="bottom"/>
            <w:hideMark/>
          </w:tcPr>
          <w:p w14:paraId="5224576D" w14:textId="77777777" w:rsidR="00F02A9A" w:rsidRPr="00514F1A" w:rsidRDefault="00F02A9A" w:rsidP="00514F1A">
            <w:pPr>
              <w:spacing w:after="0" w:line="360" w:lineRule="auto"/>
              <w:jc w:val="both"/>
              <w:rPr>
                <w:rFonts w:ascii="Times New Roman" w:eastAsia="Times New Roman" w:hAnsi="Times New Roman" w:cs="Times New Roman"/>
                <w:b/>
                <w:bCs/>
                <w:color w:val="000000"/>
                <w:sz w:val="24"/>
                <w:szCs w:val="24"/>
              </w:rPr>
            </w:pPr>
            <w:r w:rsidRPr="00514F1A">
              <w:rPr>
                <w:rFonts w:ascii="Times New Roman" w:eastAsia="Times New Roman" w:hAnsi="Times New Roman" w:cs="Times New Roman"/>
                <w:b/>
                <w:bCs/>
                <w:color w:val="000000"/>
                <w:sz w:val="24"/>
                <w:szCs w:val="24"/>
              </w:rPr>
              <w:t>y</w:t>
            </w:r>
          </w:p>
        </w:tc>
      </w:tr>
      <w:tr w:rsidR="00F02A9A" w:rsidRPr="00514F1A" w14:paraId="605BFBC6" w14:textId="77777777" w:rsidTr="00FE343B">
        <w:trPr>
          <w:trHeight w:val="552"/>
          <w:jc w:val="center"/>
        </w:trPr>
        <w:tc>
          <w:tcPr>
            <w:tcW w:w="2520" w:type="dxa"/>
            <w:shd w:val="clear" w:color="auto" w:fill="auto"/>
            <w:noWrap/>
            <w:vAlign w:val="bottom"/>
            <w:hideMark/>
          </w:tcPr>
          <w:p w14:paraId="05D0F83A"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AKT1</w:t>
            </w:r>
          </w:p>
        </w:tc>
        <w:tc>
          <w:tcPr>
            <w:tcW w:w="2435" w:type="dxa"/>
            <w:shd w:val="clear" w:color="auto" w:fill="auto"/>
            <w:noWrap/>
            <w:vAlign w:val="bottom"/>
            <w:hideMark/>
          </w:tcPr>
          <w:p w14:paraId="3CCF6B50"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13.9073</w:t>
            </w:r>
          </w:p>
        </w:tc>
        <w:tc>
          <w:tcPr>
            <w:tcW w:w="2348" w:type="dxa"/>
            <w:shd w:val="clear" w:color="auto" w:fill="auto"/>
            <w:noWrap/>
            <w:vAlign w:val="bottom"/>
            <w:hideMark/>
          </w:tcPr>
          <w:p w14:paraId="7C54B646"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-13.055</w:t>
            </w:r>
          </w:p>
        </w:tc>
        <w:tc>
          <w:tcPr>
            <w:tcW w:w="2435" w:type="dxa"/>
            <w:shd w:val="clear" w:color="auto" w:fill="auto"/>
            <w:noWrap/>
            <w:vAlign w:val="bottom"/>
            <w:hideMark/>
          </w:tcPr>
          <w:p w14:paraId="58E18FF1"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-13.717</w:t>
            </w:r>
          </w:p>
        </w:tc>
      </w:tr>
      <w:tr w:rsidR="00F02A9A" w:rsidRPr="00514F1A" w14:paraId="633A05E0" w14:textId="77777777" w:rsidTr="00FE343B">
        <w:trPr>
          <w:trHeight w:val="552"/>
          <w:jc w:val="center"/>
        </w:trPr>
        <w:tc>
          <w:tcPr>
            <w:tcW w:w="2520" w:type="dxa"/>
            <w:shd w:val="clear" w:color="auto" w:fill="auto"/>
            <w:noWrap/>
            <w:vAlign w:val="bottom"/>
            <w:hideMark/>
          </w:tcPr>
          <w:p w14:paraId="43D6B1FF"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CASP3</w:t>
            </w:r>
          </w:p>
        </w:tc>
        <w:tc>
          <w:tcPr>
            <w:tcW w:w="2435" w:type="dxa"/>
            <w:shd w:val="clear" w:color="auto" w:fill="auto"/>
            <w:noWrap/>
            <w:vAlign w:val="bottom"/>
            <w:hideMark/>
          </w:tcPr>
          <w:p w14:paraId="1E776007"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-2.5309</w:t>
            </w:r>
          </w:p>
        </w:tc>
        <w:tc>
          <w:tcPr>
            <w:tcW w:w="2348" w:type="dxa"/>
            <w:shd w:val="clear" w:color="auto" w:fill="auto"/>
            <w:noWrap/>
            <w:vAlign w:val="bottom"/>
            <w:hideMark/>
          </w:tcPr>
          <w:p w14:paraId="64AB9E98"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-4.2481</w:t>
            </w:r>
          </w:p>
        </w:tc>
        <w:tc>
          <w:tcPr>
            <w:tcW w:w="2435" w:type="dxa"/>
            <w:shd w:val="clear" w:color="auto" w:fill="auto"/>
            <w:noWrap/>
            <w:vAlign w:val="bottom"/>
            <w:hideMark/>
          </w:tcPr>
          <w:p w14:paraId="26F013F3"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1.7828</w:t>
            </w:r>
          </w:p>
        </w:tc>
      </w:tr>
      <w:tr w:rsidR="00F02A9A" w:rsidRPr="00514F1A" w14:paraId="4FBC0347" w14:textId="77777777" w:rsidTr="00FE343B">
        <w:trPr>
          <w:trHeight w:val="552"/>
          <w:jc w:val="center"/>
        </w:trPr>
        <w:tc>
          <w:tcPr>
            <w:tcW w:w="2520" w:type="dxa"/>
            <w:shd w:val="clear" w:color="auto" w:fill="auto"/>
            <w:noWrap/>
            <w:vAlign w:val="bottom"/>
            <w:hideMark/>
          </w:tcPr>
          <w:p w14:paraId="44004FD8"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EGFR</w:t>
            </w:r>
          </w:p>
        </w:tc>
        <w:tc>
          <w:tcPr>
            <w:tcW w:w="2435" w:type="dxa"/>
            <w:shd w:val="clear" w:color="auto" w:fill="auto"/>
            <w:noWrap/>
            <w:vAlign w:val="bottom"/>
            <w:hideMark/>
          </w:tcPr>
          <w:p w14:paraId="5B03F9C5"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-8.5542</w:t>
            </w:r>
          </w:p>
        </w:tc>
        <w:tc>
          <w:tcPr>
            <w:tcW w:w="2348" w:type="dxa"/>
            <w:shd w:val="clear" w:color="auto" w:fill="auto"/>
            <w:noWrap/>
            <w:vAlign w:val="bottom"/>
            <w:hideMark/>
          </w:tcPr>
          <w:p w14:paraId="4291CE69"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6.6371</w:t>
            </w:r>
          </w:p>
        </w:tc>
        <w:tc>
          <w:tcPr>
            <w:tcW w:w="2435" w:type="dxa"/>
            <w:shd w:val="clear" w:color="auto" w:fill="auto"/>
            <w:noWrap/>
            <w:vAlign w:val="bottom"/>
            <w:hideMark/>
          </w:tcPr>
          <w:p w14:paraId="6EA875CC"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2.9893</w:t>
            </w:r>
          </w:p>
        </w:tc>
      </w:tr>
      <w:tr w:rsidR="00F02A9A" w:rsidRPr="00514F1A" w14:paraId="3E2D7F75" w14:textId="77777777" w:rsidTr="00FE343B">
        <w:trPr>
          <w:trHeight w:val="552"/>
          <w:jc w:val="center"/>
        </w:trPr>
        <w:tc>
          <w:tcPr>
            <w:tcW w:w="2520" w:type="dxa"/>
            <w:shd w:val="clear" w:color="auto" w:fill="auto"/>
            <w:noWrap/>
            <w:vAlign w:val="bottom"/>
            <w:hideMark/>
          </w:tcPr>
          <w:p w14:paraId="7AD6917B"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ESR1</w:t>
            </w:r>
          </w:p>
        </w:tc>
        <w:tc>
          <w:tcPr>
            <w:tcW w:w="2435" w:type="dxa"/>
            <w:shd w:val="clear" w:color="auto" w:fill="auto"/>
            <w:noWrap/>
            <w:vAlign w:val="bottom"/>
            <w:hideMark/>
          </w:tcPr>
          <w:p w14:paraId="149821F5"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-1.146</w:t>
            </w:r>
          </w:p>
        </w:tc>
        <w:tc>
          <w:tcPr>
            <w:tcW w:w="2348" w:type="dxa"/>
            <w:shd w:val="clear" w:color="auto" w:fill="auto"/>
            <w:noWrap/>
            <w:vAlign w:val="bottom"/>
            <w:hideMark/>
          </w:tcPr>
          <w:p w14:paraId="2B5B7AAA"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-4.7477</w:t>
            </w:r>
          </w:p>
        </w:tc>
        <w:tc>
          <w:tcPr>
            <w:tcW w:w="2435" w:type="dxa"/>
            <w:shd w:val="clear" w:color="auto" w:fill="auto"/>
            <w:noWrap/>
            <w:vAlign w:val="bottom"/>
            <w:hideMark/>
          </w:tcPr>
          <w:p w14:paraId="6F7D8A3F"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4.8809</w:t>
            </w:r>
          </w:p>
        </w:tc>
      </w:tr>
      <w:tr w:rsidR="00F02A9A" w:rsidRPr="00514F1A" w14:paraId="242C632E" w14:textId="77777777" w:rsidTr="00FE343B">
        <w:trPr>
          <w:trHeight w:val="552"/>
          <w:jc w:val="center"/>
        </w:trPr>
        <w:tc>
          <w:tcPr>
            <w:tcW w:w="2520" w:type="dxa"/>
            <w:shd w:val="clear" w:color="auto" w:fill="auto"/>
            <w:noWrap/>
            <w:vAlign w:val="bottom"/>
            <w:hideMark/>
          </w:tcPr>
          <w:p w14:paraId="727F8CFC"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MAPK8</w:t>
            </w:r>
          </w:p>
        </w:tc>
        <w:tc>
          <w:tcPr>
            <w:tcW w:w="2435" w:type="dxa"/>
            <w:shd w:val="clear" w:color="auto" w:fill="auto"/>
            <w:noWrap/>
            <w:vAlign w:val="bottom"/>
            <w:hideMark/>
          </w:tcPr>
          <w:p w14:paraId="22508574"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2.0718</w:t>
            </w:r>
          </w:p>
        </w:tc>
        <w:tc>
          <w:tcPr>
            <w:tcW w:w="2348" w:type="dxa"/>
            <w:shd w:val="clear" w:color="auto" w:fill="auto"/>
            <w:noWrap/>
            <w:vAlign w:val="bottom"/>
            <w:hideMark/>
          </w:tcPr>
          <w:p w14:paraId="061C67D2"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1.2319</w:t>
            </w:r>
          </w:p>
        </w:tc>
        <w:tc>
          <w:tcPr>
            <w:tcW w:w="2435" w:type="dxa"/>
            <w:shd w:val="clear" w:color="auto" w:fill="auto"/>
            <w:noWrap/>
            <w:vAlign w:val="bottom"/>
            <w:hideMark/>
          </w:tcPr>
          <w:p w14:paraId="0AC78B01"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1.3295</w:t>
            </w:r>
          </w:p>
        </w:tc>
      </w:tr>
      <w:tr w:rsidR="00F02A9A" w:rsidRPr="00514F1A" w14:paraId="6BEA2922" w14:textId="77777777" w:rsidTr="00FE343B">
        <w:trPr>
          <w:trHeight w:val="552"/>
          <w:jc w:val="center"/>
        </w:trPr>
        <w:tc>
          <w:tcPr>
            <w:tcW w:w="2520" w:type="dxa"/>
            <w:shd w:val="clear" w:color="auto" w:fill="auto"/>
            <w:noWrap/>
            <w:vAlign w:val="bottom"/>
            <w:hideMark/>
          </w:tcPr>
          <w:p w14:paraId="55E5AFEE"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SRC</w:t>
            </w:r>
          </w:p>
        </w:tc>
        <w:tc>
          <w:tcPr>
            <w:tcW w:w="2435" w:type="dxa"/>
            <w:shd w:val="clear" w:color="auto" w:fill="auto"/>
            <w:noWrap/>
            <w:vAlign w:val="bottom"/>
            <w:hideMark/>
          </w:tcPr>
          <w:p w14:paraId="679B1D98"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-2.9626</w:t>
            </w:r>
          </w:p>
        </w:tc>
        <w:tc>
          <w:tcPr>
            <w:tcW w:w="2348" w:type="dxa"/>
            <w:shd w:val="clear" w:color="auto" w:fill="auto"/>
            <w:noWrap/>
            <w:vAlign w:val="bottom"/>
            <w:hideMark/>
          </w:tcPr>
          <w:p w14:paraId="44CB2BC8"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3.6606</w:t>
            </w:r>
          </w:p>
        </w:tc>
        <w:tc>
          <w:tcPr>
            <w:tcW w:w="2435" w:type="dxa"/>
            <w:shd w:val="clear" w:color="auto" w:fill="auto"/>
            <w:noWrap/>
            <w:vAlign w:val="bottom"/>
            <w:hideMark/>
          </w:tcPr>
          <w:p w14:paraId="415B7026"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-2.6255</w:t>
            </w:r>
          </w:p>
        </w:tc>
      </w:tr>
      <w:tr w:rsidR="00F02A9A" w:rsidRPr="00514F1A" w14:paraId="60CA1B12" w14:textId="77777777" w:rsidTr="00FE343B">
        <w:trPr>
          <w:trHeight w:val="552"/>
          <w:jc w:val="center"/>
        </w:trPr>
        <w:tc>
          <w:tcPr>
            <w:tcW w:w="2520" w:type="dxa"/>
            <w:shd w:val="clear" w:color="auto" w:fill="auto"/>
            <w:noWrap/>
            <w:vAlign w:val="bottom"/>
            <w:hideMark/>
          </w:tcPr>
          <w:p w14:paraId="1138FA8F"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TNF</w:t>
            </w:r>
          </w:p>
        </w:tc>
        <w:tc>
          <w:tcPr>
            <w:tcW w:w="2435" w:type="dxa"/>
            <w:shd w:val="clear" w:color="auto" w:fill="auto"/>
            <w:noWrap/>
            <w:vAlign w:val="bottom"/>
            <w:hideMark/>
          </w:tcPr>
          <w:p w14:paraId="51F10781"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-7.5076</w:t>
            </w:r>
          </w:p>
        </w:tc>
        <w:tc>
          <w:tcPr>
            <w:tcW w:w="2348" w:type="dxa"/>
            <w:shd w:val="clear" w:color="auto" w:fill="auto"/>
            <w:noWrap/>
            <w:vAlign w:val="bottom"/>
            <w:hideMark/>
          </w:tcPr>
          <w:p w14:paraId="26B9CB9D"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12.741</w:t>
            </w:r>
          </w:p>
        </w:tc>
        <w:tc>
          <w:tcPr>
            <w:tcW w:w="2435" w:type="dxa"/>
            <w:shd w:val="clear" w:color="auto" w:fill="auto"/>
            <w:noWrap/>
            <w:vAlign w:val="bottom"/>
            <w:hideMark/>
          </w:tcPr>
          <w:p w14:paraId="40C50127"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11.3463</w:t>
            </w:r>
          </w:p>
        </w:tc>
      </w:tr>
      <w:tr w:rsidR="00F02A9A" w:rsidRPr="00514F1A" w14:paraId="191D65CC" w14:textId="77777777" w:rsidTr="00FE343B">
        <w:trPr>
          <w:trHeight w:val="552"/>
          <w:jc w:val="center"/>
        </w:trPr>
        <w:tc>
          <w:tcPr>
            <w:tcW w:w="2520" w:type="dxa"/>
            <w:shd w:val="clear" w:color="auto" w:fill="auto"/>
            <w:noWrap/>
            <w:vAlign w:val="bottom"/>
            <w:hideMark/>
          </w:tcPr>
          <w:p w14:paraId="447D5C94"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TP53</w:t>
            </w:r>
          </w:p>
        </w:tc>
        <w:tc>
          <w:tcPr>
            <w:tcW w:w="2435" w:type="dxa"/>
            <w:shd w:val="clear" w:color="auto" w:fill="auto"/>
            <w:noWrap/>
            <w:vAlign w:val="bottom"/>
            <w:hideMark/>
          </w:tcPr>
          <w:p w14:paraId="185567D8"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-4.7918</w:t>
            </w:r>
          </w:p>
        </w:tc>
        <w:tc>
          <w:tcPr>
            <w:tcW w:w="2348" w:type="dxa"/>
            <w:shd w:val="clear" w:color="auto" w:fill="auto"/>
            <w:noWrap/>
            <w:vAlign w:val="bottom"/>
            <w:hideMark/>
          </w:tcPr>
          <w:p w14:paraId="1F7D8749"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5.7098</w:t>
            </w:r>
          </w:p>
        </w:tc>
        <w:tc>
          <w:tcPr>
            <w:tcW w:w="2435" w:type="dxa"/>
            <w:shd w:val="clear" w:color="auto" w:fill="auto"/>
            <w:noWrap/>
            <w:vAlign w:val="bottom"/>
            <w:hideMark/>
          </w:tcPr>
          <w:p w14:paraId="2DBBCFBE" w14:textId="77777777" w:rsidR="00F02A9A" w:rsidRPr="00514F1A" w:rsidRDefault="00F02A9A"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-1.0479</w:t>
            </w:r>
          </w:p>
        </w:tc>
      </w:tr>
      <w:tr w:rsidR="003C7D97" w:rsidRPr="00514F1A" w14:paraId="23C82467" w14:textId="77777777" w:rsidTr="00FE343B">
        <w:trPr>
          <w:trHeight w:val="552"/>
          <w:jc w:val="center"/>
        </w:trPr>
        <w:tc>
          <w:tcPr>
            <w:tcW w:w="2520" w:type="dxa"/>
            <w:shd w:val="clear" w:color="auto" w:fill="auto"/>
            <w:noWrap/>
            <w:vAlign w:val="bottom"/>
          </w:tcPr>
          <w:p w14:paraId="1645CF58" w14:textId="42657676" w:rsidR="003C7D97" w:rsidRPr="00514F1A" w:rsidRDefault="00DF3C30"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LYN</w:t>
            </w:r>
          </w:p>
        </w:tc>
        <w:tc>
          <w:tcPr>
            <w:tcW w:w="2435" w:type="dxa"/>
            <w:shd w:val="clear" w:color="auto" w:fill="auto"/>
            <w:noWrap/>
            <w:vAlign w:val="bottom"/>
          </w:tcPr>
          <w:p w14:paraId="0F302B5A" w14:textId="003EC263" w:rsidR="003C7D97" w:rsidRPr="00514F1A" w:rsidRDefault="00DF3C30"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w:t>
            </w:r>
            <w:r w:rsidR="00D219DA" w:rsidRPr="00514F1A">
              <w:rPr>
                <w:rFonts w:ascii="Times New Roman" w:eastAsia="Times New Roman" w:hAnsi="Times New Roman" w:cs="Times New Roman"/>
                <w:color w:val="000000"/>
                <w:sz w:val="24"/>
                <w:szCs w:val="24"/>
              </w:rPr>
              <w:t>8</w:t>
            </w:r>
            <w:r w:rsidRPr="00514F1A">
              <w:rPr>
                <w:rFonts w:ascii="Times New Roman" w:eastAsia="Times New Roman" w:hAnsi="Times New Roman" w:cs="Times New Roman"/>
                <w:color w:val="000000"/>
                <w:sz w:val="24"/>
                <w:szCs w:val="24"/>
              </w:rPr>
              <w:t>.</w:t>
            </w:r>
            <w:r w:rsidR="00D219DA" w:rsidRPr="00514F1A">
              <w:rPr>
                <w:rFonts w:ascii="Times New Roman" w:eastAsia="Times New Roman" w:hAnsi="Times New Roman" w:cs="Times New Roman"/>
                <w:color w:val="000000"/>
                <w:sz w:val="24"/>
                <w:szCs w:val="24"/>
              </w:rPr>
              <w:t>5755</w:t>
            </w:r>
          </w:p>
        </w:tc>
        <w:tc>
          <w:tcPr>
            <w:tcW w:w="2348" w:type="dxa"/>
            <w:shd w:val="clear" w:color="auto" w:fill="auto"/>
            <w:noWrap/>
            <w:vAlign w:val="bottom"/>
          </w:tcPr>
          <w:p w14:paraId="45FBE101" w14:textId="19B292F7" w:rsidR="003C7D97" w:rsidRPr="00514F1A" w:rsidRDefault="006A5733"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w:t>
            </w:r>
            <w:r w:rsidR="00C85C4F" w:rsidRPr="00514F1A">
              <w:rPr>
                <w:rFonts w:ascii="Times New Roman" w:eastAsia="Times New Roman" w:hAnsi="Times New Roman" w:cs="Times New Roman"/>
                <w:color w:val="000000"/>
                <w:sz w:val="24"/>
                <w:szCs w:val="24"/>
              </w:rPr>
              <w:t>7.2032</w:t>
            </w:r>
          </w:p>
        </w:tc>
        <w:tc>
          <w:tcPr>
            <w:tcW w:w="2435" w:type="dxa"/>
            <w:shd w:val="clear" w:color="auto" w:fill="auto"/>
            <w:noWrap/>
            <w:vAlign w:val="bottom"/>
          </w:tcPr>
          <w:p w14:paraId="6AF3BDE0" w14:textId="2C3D57A6" w:rsidR="003C7D97" w:rsidRPr="00514F1A" w:rsidRDefault="00C85C4F" w:rsidP="00514F1A">
            <w:pPr>
              <w:spacing w:after="0" w:line="360" w:lineRule="auto"/>
              <w:jc w:val="both"/>
              <w:rPr>
                <w:rFonts w:ascii="Times New Roman" w:eastAsia="Times New Roman" w:hAnsi="Times New Roman" w:cs="Times New Roman"/>
                <w:color w:val="000000"/>
                <w:sz w:val="24"/>
                <w:szCs w:val="24"/>
              </w:rPr>
            </w:pPr>
            <w:r w:rsidRPr="00514F1A">
              <w:rPr>
                <w:rFonts w:ascii="Times New Roman" w:eastAsia="Times New Roman" w:hAnsi="Times New Roman" w:cs="Times New Roman"/>
                <w:color w:val="000000"/>
                <w:sz w:val="24"/>
                <w:szCs w:val="24"/>
              </w:rPr>
              <w:t>-1</w:t>
            </w:r>
            <w:r w:rsidR="006A5733" w:rsidRPr="00514F1A">
              <w:rPr>
                <w:rFonts w:ascii="Times New Roman" w:eastAsia="Times New Roman" w:hAnsi="Times New Roman" w:cs="Times New Roman"/>
                <w:color w:val="000000"/>
                <w:sz w:val="24"/>
                <w:szCs w:val="24"/>
              </w:rPr>
              <w:t>.8062</w:t>
            </w:r>
          </w:p>
        </w:tc>
      </w:tr>
    </w:tbl>
    <w:p w14:paraId="4E8F664F" w14:textId="2686DF7C" w:rsidR="00942097" w:rsidRPr="00514F1A" w:rsidRDefault="00942097" w:rsidP="00514F1A">
      <w:pPr>
        <w:spacing w:after="0" w:line="360" w:lineRule="auto"/>
        <w:jc w:val="both"/>
        <w:rPr>
          <w:rFonts w:ascii="Times New Roman"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323FF8" w:rsidRPr="00514F1A" w14:paraId="23738EEE" w14:textId="77777777" w:rsidTr="00323FF8">
        <w:tc>
          <w:tcPr>
            <w:tcW w:w="4675" w:type="dxa"/>
          </w:tcPr>
          <w:p w14:paraId="6B45F598" w14:textId="77777777" w:rsidR="00323FF8" w:rsidRPr="00514F1A" w:rsidRDefault="00323FF8" w:rsidP="00514F1A">
            <w:pPr>
              <w:rPr>
                <w:rFonts w:ascii="Times New Roman" w:hAnsi="Times New Roman" w:cs="Times New Roman"/>
                <w:b/>
                <w:bCs/>
                <w:sz w:val="24"/>
                <w:szCs w:val="24"/>
              </w:rPr>
            </w:pPr>
            <w:r w:rsidRPr="00514F1A">
              <w:rPr>
                <w:rFonts w:ascii="Times New Roman" w:hAnsi="Times New Roman" w:cs="Times New Roman"/>
                <w:b/>
                <w:bCs/>
                <w:sz w:val="24"/>
                <w:szCs w:val="24"/>
              </w:rPr>
              <w:t>a) Caffeic Acid -EGFR</w:t>
            </w:r>
          </w:p>
          <w:p w14:paraId="75EBBA1B" w14:textId="77777777" w:rsidR="00323FF8" w:rsidRPr="00514F1A" w:rsidRDefault="00323FF8" w:rsidP="00514F1A">
            <w:pPr>
              <w:rPr>
                <w:rFonts w:ascii="Times New Roman" w:hAnsi="Times New Roman" w:cs="Times New Roman"/>
                <w:sz w:val="24"/>
                <w:szCs w:val="24"/>
              </w:rPr>
            </w:pPr>
            <w:r w:rsidRPr="00514F1A">
              <w:rPr>
                <w:rFonts w:ascii="Times New Roman" w:hAnsi="Times New Roman" w:cs="Times New Roman"/>
                <w:noProof/>
                <w:sz w:val="24"/>
                <w:szCs w:val="24"/>
              </w:rPr>
              <w:drawing>
                <wp:inline distT="0" distB="0" distL="0" distR="0" wp14:anchorId="233EFD28" wp14:editId="42829FF4">
                  <wp:extent cx="2672760" cy="25450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78329" cy="2550383"/>
                          </a:xfrm>
                          <a:prstGeom prst="rect">
                            <a:avLst/>
                          </a:prstGeom>
                          <a:noFill/>
                          <a:ln>
                            <a:noFill/>
                          </a:ln>
                        </pic:spPr>
                      </pic:pic>
                    </a:graphicData>
                  </a:graphic>
                </wp:inline>
              </w:drawing>
            </w:r>
          </w:p>
        </w:tc>
        <w:tc>
          <w:tcPr>
            <w:tcW w:w="4675" w:type="dxa"/>
          </w:tcPr>
          <w:p w14:paraId="6F4FA19B" w14:textId="77777777" w:rsidR="00323FF8" w:rsidRPr="00514F1A" w:rsidRDefault="00323FF8" w:rsidP="00514F1A">
            <w:pPr>
              <w:rPr>
                <w:rFonts w:ascii="Times New Roman" w:hAnsi="Times New Roman" w:cs="Times New Roman"/>
                <w:b/>
                <w:bCs/>
                <w:sz w:val="24"/>
                <w:szCs w:val="24"/>
              </w:rPr>
            </w:pPr>
            <w:r w:rsidRPr="00514F1A">
              <w:rPr>
                <w:rFonts w:ascii="Times New Roman" w:hAnsi="Times New Roman" w:cs="Times New Roman"/>
                <w:b/>
                <w:bCs/>
                <w:sz w:val="24"/>
                <w:szCs w:val="24"/>
              </w:rPr>
              <w:t>b) Caffeic Acid – ESR1</w:t>
            </w:r>
          </w:p>
          <w:p w14:paraId="5CF7A4A1" w14:textId="77777777" w:rsidR="00323FF8" w:rsidRPr="00514F1A" w:rsidRDefault="00323FF8" w:rsidP="00514F1A">
            <w:pPr>
              <w:rPr>
                <w:rFonts w:ascii="Times New Roman" w:hAnsi="Times New Roman" w:cs="Times New Roman"/>
                <w:sz w:val="24"/>
                <w:szCs w:val="24"/>
              </w:rPr>
            </w:pPr>
            <w:r w:rsidRPr="00514F1A">
              <w:rPr>
                <w:rFonts w:ascii="Times New Roman" w:hAnsi="Times New Roman" w:cs="Times New Roman"/>
                <w:noProof/>
                <w:sz w:val="24"/>
                <w:szCs w:val="24"/>
              </w:rPr>
              <w:drawing>
                <wp:inline distT="0" distB="0" distL="0" distR="0" wp14:anchorId="283F24DD" wp14:editId="1976083B">
                  <wp:extent cx="2729725" cy="23469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44324" cy="2359512"/>
                          </a:xfrm>
                          <a:prstGeom prst="rect">
                            <a:avLst/>
                          </a:prstGeom>
                          <a:noFill/>
                          <a:ln>
                            <a:noFill/>
                          </a:ln>
                        </pic:spPr>
                      </pic:pic>
                    </a:graphicData>
                  </a:graphic>
                </wp:inline>
              </w:drawing>
            </w:r>
          </w:p>
        </w:tc>
      </w:tr>
    </w:tbl>
    <w:p w14:paraId="1F384DD9" w14:textId="7A6EE1B9" w:rsidR="00A43D6C" w:rsidRPr="00514F1A" w:rsidRDefault="00A43D6C" w:rsidP="00514F1A">
      <w:pPr>
        <w:spacing w:after="0" w:line="360" w:lineRule="auto"/>
        <w:jc w:val="both"/>
        <w:rPr>
          <w:rFonts w:ascii="Times New Roman" w:hAnsi="Times New Roman" w:cs="Times New Roman"/>
          <w:sz w:val="24"/>
          <w:szCs w:val="24"/>
        </w:rPr>
      </w:pPr>
    </w:p>
    <w:p w14:paraId="0AD677B0" w14:textId="60BA499E" w:rsidR="00323FF8" w:rsidRPr="00514F1A" w:rsidRDefault="00323FF8" w:rsidP="00514F1A">
      <w:pPr>
        <w:spacing w:after="0" w:line="360" w:lineRule="auto"/>
        <w:jc w:val="both"/>
        <w:rPr>
          <w:rFonts w:ascii="Times New Roman" w:hAnsi="Times New Roman" w:cs="Times New Roman"/>
          <w:sz w:val="24"/>
          <w:szCs w:val="24"/>
        </w:rPr>
      </w:pPr>
    </w:p>
    <w:p w14:paraId="65A71274" w14:textId="77777777" w:rsidR="00323FF8" w:rsidRPr="00514F1A" w:rsidRDefault="00323FF8" w:rsidP="00514F1A">
      <w:pPr>
        <w:spacing w:after="0" w:line="360" w:lineRule="auto"/>
        <w:jc w:val="both"/>
        <w:rPr>
          <w:rFonts w:ascii="Times New Roman"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99"/>
        <w:gridCol w:w="4061"/>
      </w:tblGrid>
      <w:tr w:rsidR="00323FF8" w:rsidRPr="00514F1A" w14:paraId="39C402E7" w14:textId="77777777" w:rsidTr="00323FF8">
        <w:tc>
          <w:tcPr>
            <w:tcW w:w="4675" w:type="dxa"/>
          </w:tcPr>
          <w:p w14:paraId="2C2F873A" w14:textId="77777777" w:rsidR="00323FF8" w:rsidRPr="00514F1A" w:rsidRDefault="00323FF8" w:rsidP="00514F1A">
            <w:pPr>
              <w:rPr>
                <w:rFonts w:ascii="Times New Roman" w:hAnsi="Times New Roman" w:cs="Times New Roman"/>
                <w:b/>
                <w:bCs/>
                <w:sz w:val="24"/>
                <w:szCs w:val="24"/>
              </w:rPr>
            </w:pPr>
            <w:r w:rsidRPr="00514F1A">
              <w:rPr>
                <w:rFonts w:ascii="Times New Roman" w:hAnsi="Times New Roman" w:cs="Times New Roman"/>
                <w:b/>
                <w:bCs/>
                <w:sz w:val="24"/>
                <w:szCs w:val="24"/>
              </w:rPr>
              <w:t>c) Chlorogenic Acid- CASP3</w:t>
            </w:r>
          </w:p>
          <w:p w14:paraId="36637EE8" w14:textId="77777777" w:rsidR="00323FF8" w:rsidRPr="00514F1A" w:rsidRDefault="00323FF8" w:rsidP="00514F1A">
            <w:pPr>
              <w:rPr>
                <w:rFonts w:ascii="Times New Roman" w:hAnsi="Times New Roman" w:cs="Times New Roman"/>
                <w:sz w:val="24"/>
                <w:szCs w:val="24"/>
              </w:rPr>
            </w:pPr>
            <w:r w:rsidRPr="00514F1A">
              <w:rPr>
                <w:rFonts w:ascii="Times New Roman" w:hAnsi="Times New Roman" w:cs="Times New Roman"/>
                <w:noProof/>
                <w:sz w:val="24"/>
                <w:szCs w:val="24"/>
              </w:rPr>
              <w:drawing>
                <wp:inline distT="0" distB="0" distL="0" distR="0" wp14:anchorId="5844D1D2" wp14:editId="63325D66">
                  <wp:extent cx="2971800" cy="207427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79147" cy="2079405"/>
                          </a:xfrm>
                          <a:prstGeom prst="rect">
                            <a:avLst/>
                          </a:prstGeom>
                          <a:noFill/>
                          <a:ln>
                            <a:noFill/>
                          </a:ln>
                        </pic:spPr>
                      </pic:pic>
                    </a:graphicData>
                  </a:graphic>
                </wp:inline>
              </w:drawing>
            </w:r>
          </w:p>
        </w:tc>
        <w:tc>
          <w:tcPr>
            <w:tcW w:w="4675" w:type="dxa"/>
          </w:tcPr>
          <w:p w14:paraId="22086506" w14:textId="77777777" w:rsidR="00323FF8" w:rsidRPr="00514F1A" w:rsidRDefault="00323FF8" w:rsidP="00514F1A">
            <w:pPr>
              <w:rPr>
                <w:rFonts w:ascii="Times New Roman" w:hAnsi="Times New Roman" w:cs="Times New Roman"/>
                <w:b/>
                <w:bCs/>
                <w:sz w:val="24"/>
                <w:szCs w:val="24"/>
              </w:rPr>
            </w:pPr>
            <w:r w:rsidRPr="00514F1A">
              <w:rPr>
                <w:rFonts w:ascii="Times New Roman" w:hAnsi="Times New Roman" w:cs="Times New Roman"/>
                <w:b/>
                <w:bCs/>
                <w:sz w:val="24"/>
                <w:szCs w:val="24"/>
              </w:rPr>
              <w:t>d) Chlorogenic Acid- MAPK8</w:t>
            </w:r>
          </w:p>
          <w:p w14:paraId="37184962" w14:textId="77777777" w:rsidR="00323FF8" w:rsidRPr="00514F1A" w:rsidRDefault="00323FF8" w:rsidP="00514F1A">
            <w:pPr>
              <w:rPr>
                <w:rFonts w:ascii="Times New Roman" w:hAnsi="Times New Roman" w:cs="Times New Roman"/>
                <w:sz w:val="24"/>
                <w:szCs w:val="24"/>
              </w:rPr>
            </w:pPr>
            <w:r w:rsidRPr="00514F1A">
              <w:rPr>
                <w:rFonts w:ascii="Times New Roman" w:hAnsi="Times New Roman" w:cs="Times New Roman"/>
                <w:noProof/>
                <w:sz w:val="24"/>
                <w:szCs w:val="24"/>
              </w:rPr>
              <w:drawing>
                <wp:inline distT="0" distB="0" distL="0" distR="0" wp14:anchorId="1E35F26A" wp14:editId="16A1969D">
                  <wp:extent cx="2423160" cy="1992376"/>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29987" cy="1997989"/>
                          </a:xfrm>
                          <a:prstGeom prst="rect">
                            <a:avLst/>
                          </a:prstGeom>
                          <a:noFill/>
                          <a:ln>
                            <a:noFill/>
                          </a:ln>
                        </pic:spPr>
                      </pic:pic>
                    </a:graphicData>
                  </a:graphic>
                </wp:inline>
              </w:drawing>
            </w:r>
          </w:p>
        </w:tc>
      </w:tr>
      <w:tr w:rsidR="00323FF8" w:rsidRPr="00514F1A" w14:paraId="46C21007" w14:textId="77777777" w:rsidTr="00323FF8">
        <w:tc>
          <w:tcPr>
            <w:tcW w:w="4675" w:type="dxa"/>
          </w:tcPr>
          <w:p w14:paraId="2FB02AA4" w14:textId="77777777" w:rsidR="00323FF8" w:rsidRPr="00514F1A" w:rsidRDefault="00323FF8" w:rsidP="00514F1A">
            <w:pPr>
              <w:rPr>
                <w:rFonts w:ascii="Times New Roman" w:hAnsi="Times New Roman" w:cs="Times New Roman"/>
                <w:b/>
                <w:bCs/>
                <w:sz w:val="24"/>
                <w:szCs w:val="24"/>
              </w:rPr>
            </w:pPr>
            <w:r w:rsidRPr="00514F1A">
              <w:rPr>
                <w:rFonts w:ascii="Times New Roman" w:hAnsi="Times New Roman" w:cs="Times New Roman"/>
                <w:b/>
                <w:bCs/>
                <w:sz w:val="24"/>
                <w:szCs w:val="24"/>
              </w:rPr>
              <w:t>e) Chlorogenic Acid - SRC</w:t>
            </w:r>
          </w:p>
          <w:p w14:paraId="14609D70" w14:textId="77777777" w:rsidR="00323FF8" w:rsidRPr="00514F1A" w:rsidRDefault="00323FF8" w:rsidP="00514F1A">
            <w:pPr>
              <w:rPr>
                <w:rFonts w:ascii="Times New Roman" w:hAnsi="Times New Roman" w:cs="Times New Roman"/>
                <w:sz w:val="24"/>
                <w:szCs w:val="24"/>
              </w:rPr>
            </w:pPr>
            <w:r w:rsidRPr="00514F1A">
              <w:rPr>
                <w:rFonts w:ascii="Times New Roman" w:hAnsi="Times New Roman" w:cs="Times New Roman"/>
                <w:noProof/>
                <w:sz w:val="24"/>
                <w:szCs w:val="24"/>
              </w:rPr>
              <w:drawing>
                <wp:inline distT="0" distB="0" distL="0" distR="0" wp14:anchorId="501BD129" wp14:editId="563400B6">
                  <wp:extent cx="3227952" cy="204046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43960" cy="2050586"/>
                          </a:xfrm>
                          <a:prstGeom prst="rect">
                            <a:avLst/>
                          </a:prstGeom>
                          <a:noFill/>
                          <a:ln>
                            <a:noFill/>
                          </a:ln>
                        </pic:spPr>
                      </pic:pic>
                    </a:graphicData>
                  </a:graphic>
                </wp:inline>
              </w:drawing>
            </w:r>
          </w:p>
        </w:tc>
        <w:tc>
          <w:tcPr>
            <w:tcW w:w="4675" w:type="dxa"/>
          </w:tcPr>
          <w:p w14:paraId="59848C94" w14:textId="77777777" w:rsidR="00323FF8" w:rsidRPr="00514F1A" w:rsidRDefault="00323FF8" w:rsidP="00514F1A">
            <w:pPr>
              <w:rPr>
                <w:rFonts w:ascii="Times New Roman" w:hAnsi="Times New Roman" w:cs="Times New Roman"/>
                <w:b/>
                <w:bCs/>
                <w:sz w:val="24"/>
                <w:szCs w:val="24"/>
              </w:rPr>
            </w:pPr>
            <w:r w:rsidRPr="00514F1A">
              <w:rPr>
                <w:rFonts w:ascii="Times New Roman" w:hAnsi="Times New Roman" w:cs="Times New Roman"/>
                <w:b/>
                <w:bCs/>
                <w:sz w:val="24"/>
                <w:szCs w:val="24"/>
              </w:rPr>
              <w:t>f) Ellagic Acid - EGFR</w:t>
            </w:r>
          </w:p>
          <w:p w14:paraId="4D120120" w14:textId="77777777" w:rsidR="00323FF8" w:rsidRPr="00514F1A" w:rsidRDefault="00323FF8" w:rsidP="00514F1A">
            <w:pPr>
              <w:rPr>
                <w:rFonts w:ascii="Times New Roman" w:hAnsi="Times New Roman" w:cs="Times New Roman"/>
                <w:sz w:val="24"/>
                <w:szCs w:val="24"/>
              </w:rPr>
            </w:pPr>
            <w:r w:rsidRPr="00514F1A">
              <w:rPr>
                <w:rFonts w:ascii="Times New Roman" w:hAnsi="Times New Roman" w:cs="Times New Roman"/>
                <w:noProof/>
                <w:sz w:val="24"/>
                <w:szCs w:val="24"/>
              </w:rPr>
              <w:drawing>
                <wp:inline distT="0" distB="0" distL="0" distR="0" wp14:anchorId="240C38C2" wp14:editId="47F631EF">
                  <wp:extent cx="2250263" cy="1998134"/>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67681" cy="2013600"/>
                          </a:xfrm>
                          <a:prstGeom prst="rect">
                            <a:avLst/>
                          </a:prstGeom>
                          <a:noFill/>
                          <a:ln>
                            <a:noFill/>
                          </a:ln>
                        </pic:spPr>
                      </pic:pic>
                    </a:graphicData>
                  </a:graphic>
                </wp:inline>
              </w:drawing>
            </w:r>
          </w:p>
        </w:tc>
      </w:tr>
      <w:tr w:rsidR="00323FF8" w:rsidRPr="00514F1A" w14:paraId="6995D211" w14:textId="77777777" w:rsidTr="00323FF8">
        <w:tc>
          <w:tcPr>
            <w:tcW w:w="4675" w:type="dxa"/>
          </w:tcPr>
          <w:p w14:paraId="77001206" w14:textId="77777777" w:rsidR="00323FF8" w:rsidRPr="00514F1A" w:rsidRDefault="00323FF8" w:rsidP="00514F1A">
            <w:pPr>
              <w:rPr>
                <w:rFonts w:ascii="Times New Roman" w:hAnsi="Times New Roman" w:cs="Times New Roman"/>
                <w:b/>
                <w:bCs/>
                <w:sz w:val="24"/>
                <w:szCs w:val="24"/>
              </w:rPr>
            </w:pPr>
          </w:p>
        </w:tc>
        <w:tc>
          <w:tcPr>
            <w:tcW w:w="4675" w:type="dxa"/>
          </w:tcPr>
          <w:p w14:paraId="58C07002" w14:textId="77777777" w:rsidR="00323FF8" w:rsidRPr="00514F1A" w:rsidRDefault="00323FF8" w:rsidP="00514F1A">
            <w:pPr>
              <w:rPr>
                <w:rFonts w:ascii="Times New Roman" w:hAnsi="Times New Roman" w:cs="Times New Roman"/>
                <w:b/>
                <w:bCs/>
                <w:sz w:val="24"/>
                <w:szCs w:val="24"/>
              </w:rPr>
            </w:pPr>
          </w:p>
        </w:tc>
      </w:tr>
      <w:tr w:rsidR="00323FF8" w:rsidRPr="00514F1A" w14:paraId="6CF6EF3C" w14:textId="77777777" w:rsidTr="00323FF8">
        <w:tc>
          <w:tcPr>
            <w:tcW w:w="4675" w:type="dxa"/>
          </w:tcPr>
          <w:p w14:paraId="1DEDA97F" w14:textId="77777777" w:rsidR="00323FF8" w:rsidRPr="00514F1A" w:rsidRDefault="00323FF8" w:rsidP="00514F1A">
            <w:pPr>
              <w:tabs>
                <w:tab w:val="left" w:pos="3680"/>
              </w:tabs>
              <w:rPr>
                <w:rFonts w:ascii="Times New Roman" w:hAnsi="Times New Roman" w:cs="Times New Roman"/>
                <w:sz w:val="24"/>
                <w:szCs w:val="24"/>
              </w:rPr>
            </w:pPr>
            <w:r w:rsidRPr="00514F1A">
              <w:rPr>
                <w:rFonts w:ascii="Times New Roman" w:hAnsi="Times New Roman" w:cs="Times New Roman"/>
                <w:b/>
                <w:bCs/>
                <w:sz w:val="24"/>
                <w:szCs w:val="24"/>
              </w:rPr>
              <w:t>g) Ellagic Acid – ESR1</w:t>
            </w:r>
            <w:r w:rsidRPr="00514F1A">
              <w:rPr>
                <w:rFonts w:ascii="Times New Roman" w:hAnsi="Times New Roman" w:cs="Times New Roman"/>
                <w:sz w:val="24"/>
                <w:szCs w:val="24"/>
              </w:rPr>
              <w:tab/>
            </w:r>
          </w:p>
          <w:p w14:paraId="418C3585" w14:textId="77777777" w:rsidR="00323FF8" w:rsidRPr="00514F1A" w:rsidRDefault="00323FF8" w:rsidP="00514F1A">
            <w:pPr>
              <w:tabs>
                <w:tab w:val="left" w:pos="3680"/>
              </w:tabs>
              <w:rPr>
                <w:rFonts w:ascii="Times New Roman" w:hAnsi="Times New Roman" w:cs="Times New Roman"/>
                <w:sz w:val="24"/>
                <w:szCs w:val="24"/>
              </w:rPr>
            </w:pPr>
            <w:r w:rsidRPr="00514F1A">
              <w:rPr>
                <w:rFonts w:ascii="Times New Roman" w:hAnsi="Times New Roman" w:cs="Times New Roman"/>
                <w:noProof/>
                <w:sz w:val="24"/>
                <w:szCs w:val="24"/>
              </w:rPr>
              <w:drawing>
                <wp:inline distT="0" distB="0" distL="0" distR="0" wp14:anchorId="4CC76F0C" wp14:editId="299F9D41">
                  <wp:extent cx="2667000" cy="2166755"/>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82659" cy="2179477"/>
                          </a:xfrm>
                          <a:prstGeom prst="rect">
                            <a:avLst/>
                          </a:prstGeom>
                          <a:noFill/>
                          <a:ln>
                            <a:noFill/>
                          </a:ln>
                        </pic:spPr>
                      </pic:pic>
                    </a:graphicData>
                  </a:graphic>
                </wp:inline>
              </w:drawing>
            </w:r>
          </w:p>
        </w:tc>
        <w:tc>
          <w:tcPr>
            <w:tcW w:w="4675" w:type="dxa"/>
          </w:tcPr>
          <w:p w14:paraId="3AEDF4A0" w14:textId="4B9F7B08" w:rsidR="00323FF8" w:rsidRPr="00514F1A" w:rsidRDefault="00323FF8" w:rsidP="00514F1A">
            <w:pPr>
              <w:rPr>
                <w:rFonts w:ascii="Times New Roman" w:hAnsi="Times New Roman" w:cs="Times New Roman"/>
                <w:b/>
                <w:bCs/>
                <w:sz w:val="24"/>
                <w:szCs w:val="24"/>
              </w:rPr>
            </w:pPr>
            <w:r w:rsidRPr="00514F1A">
              <w:rPr>
                <w:rFonts w:ascii="Times New Roman" w:hAnsi="Times New Roman" w:cs="Times New Roman"/>
                <w:noProof/>
                <w:sz w:val="24"/>
                <w:szCs w:val="24"/>
              </w:rPr>
              <w:drawing>
                <wp:anchor distT="0" distB="0" distL="114300" distR="114300" simplePos="0" relativeHeight="251659264" behindDoc="0" locked="0" layoutInCell="1" allowOverlap="1" wp14:anchorId="722C6FDA" wp14:editId="518FAD6E">
                  <wp:simplePos x="0" y="0"/>
                  <wp:positionH relativeFrom="column">
                    <wp:posOffset>635</wp:posOffset>
                  </wp:positionH>
                  <wp:positionV relativeFrom="paragraph">
                    <wp:posOffset>168909</wp:posOffset>
                  </wp:positionV>
                  <wp:extent cx="2175933" cy="2224451"/>
                  <wp:effectExtent l="0" t="0" r="0" b="0"/>
                  <wp:wrapNone/>
                  <wp:docPr id="37" name="Picture 35" descr="/var/mobile/Containers/Data/Application/E8487061-B479-449D-9DC5-AB6DDEE0D331/tmp/_d/image63.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5" descr="/var/mobile/Containers/Data/Application/E8487061-B479-449D-9DC5-AB6DDEE0D331/tmp/_d/image63.emf"/>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7160" r="67051"/>
                          <a:stretch/>
                        </pic:blipFill>
                        <pic:spPr bwMode="auto">
                          <a:xfrm>
                            <a:off x="0" y="0"/>
                            <a:ext cx="2190795" cy="223964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14F1A">
              <w:rPr>
                <w:rFonts w:ascii="Times New Roman" w:hAnsi="Times New Roman" w:cs="Times New Roman"/>
                <w:b/>
                <w:bCs/>
                <w:sz w:val="24"/>
                <w:szCs w:val="24"/>
              </w:rPr>
              <w:t xml:space="preserve">h) </w:t>
            </w:r>
            <w:r w:rsidRPr="00514F1A">
              <w:rPr>
                <w:rFonts w:ascii="Times New Roman" w:eastAsia="Times New Roman" w:hAnsi="Times New Roman" w:cs="Times New Roman"/>
                <w:b/>
                <w:color w:val="000000"/>
                <w:sz w:val="24"/>
                <w:szCs w:val="24"/>
              </w:rPr>
              <w:t>Epigallocatechin -TNF</w:t>
            </w:r>
          </w:p>
          <w:p w14:paraId="55CE78A3" w14:textId="10BA06B1" w:rsidR="00323FF8" w:rsidRPr="00514F1A" w:rsidRDefault="00323FF8" w:rsidP="00514F1A">
            <w:pPr>
              <w:rPr>
                <w:rFonts w:ascii="Times New Roman" w:hAnsi="Times New Roman" w:cs="Times New Roman"/>
                <w:sz w:val="24"/>
                <w:szCs w:val="24"/>
              </w:rPr>
            </w:pPr>
          </w:p>
        </w:tc>
      </w:tr>
    </w:tbl>
    <w:p w14:paraId="400A2FAF" w14:textId="0516AA60" w:rsidR="00323FF8" w:rsidRPr="00514F1A" w:rsidRDefault="00323FF8" w:rsidP="00514F1A">
      <w:pPr>
        <w:spacing w:after="0" w:line="360" w:lineRule="auto"/>
        <w:jc w:val="both"/>
        <w:rPr>
          <w:rFonts w:ascii="Times New Roman"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428"/>
      </w:tblGrid>
      <w:tr w:rsidR="00323FF8" w:rsidRPr="00514F1A" w14:paraId="21B88134" w14:textId="77777777" w:rsidTr="00323FF8">
        <w:tc>
          <w:tcPr>
            <w:tcW w:w="4927" w:type="dxa"/>
          </w:tcPr>
          <w:p w14:paraId="1A442958" w14:textId="77777777" w:rsidR="00323FF8" w:rsidRPr="00514F1A" w:rsidRDefault="00323FF8" w:rsidP="00514F1A">
            <w:pPr>
              <w:pStyle w:val="ListParagraph"/>
              <w:numPr>
                <w:ilvl w:val="0"/>
                <w:numId w:val="5"/>
              </w:numPr>
              <w:rPr>
                <w:rFonts w:ascii="Times New Roman" w:hAnsi="Times New Roman" w:cs="Times New Roman"/>
                <w:b/>
                <w:bCs/>
                <w:sz w:val="24"/>
                <w:szCs w:val="24"/>
              </w:rPr>
            </w:pPr>
            <w:proofErr w:type="spellStart"/>
            <w:r w:rsidRPr="00514F1A">
              <w:rPr>
                <w:rFonts w:ascii="Times New Roman" w:hAnsi="Times New Roman" w:cs="Times New Roman"/>
                <w:b/>
                <w:bCs/>
                <w:sz w:val="24"/>
                <w:szCs w:val="24"/>
              </w:rPr>
              <w:t>Isoquercitrin</w:t>
            </w:r>
            <w:proofErr w:type="spellEnd"/>
            <w:r w:rsidRPr="00514F1A">
              <w:rPr>
                <w:rFonts w:ascii="Times New Roman" w:hAnsi="Times New Roman" w:cs="Times New Roman"/>
                <w:b/>
                <w:bCs/>
                <w:sz w:val="24"/>
                <w:szCs w:val="24"/>
              </w:rPr>
              <w:t>-TNF</w:t>
            </w:r>
          </w:p>
          <w:p w14:paraId="43F2D28F" w14:textId="77777777" w:rsidR="00323FF8" w:rsidRPr="00514F1A" w:rsidRDefault="00323FF8" w:rsidP="00514F1A">
            <w:pPr>
              <w:rPr>
                <w:rFonts w:ascii="Times New Roman" w:hAnsi="Times New Roman" w:cs="Times New Roman"/>
                <w:sz w:val="24"/>
                <w:szCs w:val="24"/>
              </w:rPr>
            </w:pPr>
            <w:r w:rsidRPr="00514F1A">
              <w:rPr>
                <w:rFonts w:ascii="Times New Roman" w:hAnsi="Times New Roman" w:cs="Times New Roman"/>
                <w:noProof/>
                <w:sz w:val="24"/>
                <w:szCs w:val="24"/>
              </w:rPr>
              <w:drawing>
                <wp:inline distT="0" distB="0" distL="0" distR="0" wp14:anchorId="31BF622C" wp14:editId="16260AC7">
                  <wp:extent cx="2728079" cy="194733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39541" cy="1955515"/>
                          </a:xfrm>
                          <a:prstGeom prst="rect">
                            <a:avLst/>
                          </a:prstGeom>
                          <a:noFill/>
                          <a:ln>
                            <a:noFill/>
                          </a:ln>
                        </pic:spPr>
                      </pic:pic>
                    </a:graphicData>
                  </a:graphic>
                </wp:inline>
              </w:drawing>
            </w:r>
          </w:p>
        </w:tc>
        <w:tc>
          <w:tcPr>
            <w:tcW w:w="4423" w:type="dxa"/>
          </w:tcPr>
          <w:p w14:paraId="55849DA0" w14:textId="77777777" w:rsidR="00323FF8" w:rsidRPr="00514F1A" w:rsidRDefault="00323FF8" w:rsidP="00514F1A">
            <w:pPr>
              <w:rPr>
                <w:rFonts w:ascii="Times New Roman" w:hAnsi="Times New Roman" w:cs="Times New Roman"/>
                <w:sz w:val="24"/>
                <w:szCs w:val="24"/>
              </w:rPr>
            </w:pPr>
            <w:r w:rsidRPr="00514F1A">
              <w:rPr>
                <w:rFonts w:ascii="Times New Roman" w:hAnsi="Times New Roman" w:cs="Times New Roman"/>
                <w:sz w:val="24"/>
                <w:szCs w:val="24"/>
              </w:rPr>
              <w:t xml:space="preserve">j) </w:t>
            </w:r>
            <w:r w:rsidRPr="00514F1A">
              <w:rPr>
                <w:rFonts w:ascii="Times New Roman" w:hAnsi="Times New Roman" w:cs="Times New Roman"/>
                <w:b/>
                <w:bCs/>
                <w:sz w:val="24"/>
                <w:szCs w:val="24"/>
              </w:rPr>
              <w:t>Kaempferol - EGFR</w:t>
            </w:r>
          </w:p>
          <w:p w14:paraId="5B9FEF9F" w14:textId="77777777" w:rsidR="00323FF8" w:rsidRPr="00514F1A" w:rsidRDefault="00323FF8" w:rsidP="00514F1A">
            <w:pPr>
              <w:rPr>
                <w:rFonts w:ascii="Times New Roman" w:hAnsi="Times New Roman" w:cs="Times New Roman"/>
                <w:sz w:val="24"/>
                <w:szCs w:val="24"/>
              </w:rPr>
            </w:pPr>
            <w:r w:rsidRPr="00514F1A">
              <w:rPr>
                <w:rFonts w:ascii="Times New Roman" w:hAnsi="Times New Roman" w:cs="Times New Roman"/>
                <w:noProof/>
                <w:sz w:val="24"/>
                <w:szCs w:val="24"/>
              </w:rPr>
              <w:drawing>
                <wp:inline distT="0" distB="0" distL="0" distR="0" wp14:anchorId="4C783122" wp14:editId="3A01D213">
                  <wp:extent cx="2703763" cy="2159000"/>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18347" cy="2170646"/>
                          </a:xfrm>
                          <a:prstGeom prst="rect">
                            <a:avLst/>
                          </a:prstGeom>
                          <a:noFill/>
                          <a:ln>
                            <a:noFill/>
                          </a:ln>
                        </pic:spPr>
                      </pic:pic>
                    </a:graphicData>
                  </a:graphic>
                </wp:inline>
              </w:drawing>
            </w:r>
          </w:p>
        </w:tc>
      </w:tr>
      <w:tr w:rsidR="00323FF8" w:rsidRPr="00514F1A" w14:paraId="597A32E6" w14:textId="77777777" w:rsidTr="00323FF8">
        <w:tc>
          <w:tcPr>
            <w:tcW w:w="4927" w:type="dxa"/>
          </w:tcPr>
          <w:p w14:paraId="3E416495" w14:textId="77777777" w:rsidR="00323FF8" w:rsidRPr="00514F1A" w:rsidRDefault="00323FF8" w:rsidP="00514F1A">
            <w:pPr>
              <w:rPr>
                <w:rFonts w:ascii="Times New Roman" w:hAnsi="Times New Roman" w:cs="Times New Roman"/>
                <w:b/>
                <w:bCs/>
                <w:sz w:val="24"/>
                <w:szCs w:val="24"/>
              </w:rPr>
            </w:pPr>
            <w:r w:rsidRPr="00514F1A">
              <w:rPr>
                <w:rFonts w:ascii="Times New Roman" w:hAnsi="Times New Roman" w:cs="Times New Roman"/>
                <w:b/>
                <w:bCs/>
                <w:sz w:val="24"/>
                <w:szCs w:val="24"/>
              </w:rPr>
              <w:t>k) Kaempferol – ESR1</w:t>
            </w:r>
          </w:p>
          <w:p w14:paraId="6DBC86E9" w14:textId="77777777" w:rsidR="00323FF8" w:rsidRPr="00514F1A" w:rsidRDefault="00323FF8" w:rsidP="00514F1A">
            <w:pPr>
              <w:rPr>
                <w:rFonts w:ascii="Times New Roman" w:hAnsi="Times New Roman" w:cs="Times New Roman"/>
                <w:sz w:val="24"/>
                <w:szCs w:val="24"/>
              </w:rPr>
            </w:pPr>
            <w:r w:rsidRPr="00514F1A">
              <w:rPr>
                <w:rFonts w:ascii="Times New Roman" w:hAnsi="Times New Roman" w:cs="Times New Roman"/>
                <w:noProof/>
                <w:sz w:val="24"/>
                <w:szCs w:val="24"/>
              </w:rPr>
              <w:drawing>
                <wp:inline distT="0" distB="0" distL="0" distR="0" wp14:anchorId="72E4EBE1" wp14:editId="533A13CB">
                  <wp:extent cx="3026833" cy="2167467"/>
                  <wp:effectExtent l="0" t="0" r="254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39470" cy="2176516"/>
                          </a:xfrm>
                          <a:prstGeom prst="rect">
                            <a:avLst/>
                          </a:prstGeom>
                          <a:noFill/>
                          <a:ln>
                            <a:noFill/>
                          </a:ln>
                        </pic:spPr>
                      </pic:pic>
                    </a:graphicData>
                  </a:graphic>
                </wp:inline>
              </w:drawing>
            </w:r>
          </w:p>
        </w:tc>
        <w:tc>
          <w:tcPr>
            <w:tcW w:w="4423" w:type="dxa"/>
          </w:tcPr>
          <w:p w14:paraId="7490903A" w14:textId="77777777" w:rsidR="00323FF8" w:rsidRPr="00514F1A" w:rsidRDefault="00323FF8" w:rsidP="00514F1A">
            <w:pPr>
              <w:rPr>
                <w:rFonts w:ascii="Times New Roman" w:hAnsi="Times New Roman" w:cs="Times New Roman"/>
                <w:b/>
                <w:bCs/>
                <w:sz w:val="24"/>
                <w:szCs w:val="24"/>
              </w:rPr>
            </w:pPr>
            <w:r w:rsidRPr="00514F1A">
              <w:rPr>
                <w:rFonts w:ascii="Times New Roman" w:hAnsi="Times New Roman" w:cs="Times New Roman"/>
                <w:sz w:val="24"/>
                <w:szCs w:val="24"/>
              </w:rPr>
              <w:t xml:space="preserve">l) </w:t>
            </w:r>
            <w:r w:rsidRPr="00514F1A">
              <w:rPr>
                <w:rFonts w:ascii="Times New Roman" w:hAnsi="Times New Roman" w:cs="Times New Roman"/>
                <w:b/>
                <w:bCs/>
                <w:sz w:val="24"/>
                <w:szCs w:val="24"/>
              </w:rPr>
              <w:t>Kaempferol - SRC</w:t>
            </w:r>
          </w:p>
          <w:p w14:paraId="68F9FD60" w14:textId="77777777" w:rsidR="00323FF8" w:rsidRPr="00514F1A" w:rsidRDefault="00323FF8" w:rsidP="00514F1A">
            <w:pPr>
              <w:rPr>
                <w:rFonts w:ascii="Times New Roman" w:hAnsi="Times New Roman" w:cs="Times New Roman"/>
                <w:sz w:val="24"/>
                <w:szCs w:val="24"/>
              </w:rPr>
            </w:pPr>
            <w:r w:rsidRPr="00514F1A">
              <w:rPr>
                <w:rFonts w:ascii="Times New Roman" w:hAnsi="Times New Roman" w:cs="Times New Roman"/>
                <w:noProof/>
                <w:sz w:val="24"/>
                <w:szCs w:val="24"/>
              </w:rPr>
              <w:drawing>
                <wp:inline distT="0" distB="0" distL="0" distR="0" wp14:anchorId="761632BA" wp14:editId="4CA4FD8F">
                  <wp:extent cx="2357126" cy="2260600"/>
                  <wp:effectExtent l="0" t="0" r="508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70152" cy="2273093"/>
                          </a:xfrm>
                          <a:prstGeom prst="rect">
                            <a:avLst/>
                          </a:prstGeom>
                          <a:noFill/>
                          <a:ln>
                            <a:noFill/>
                          </a:ln>
                        </pic:spPr>
                      </pic:pic>
                    </a:graphicData>
                  </a:graphic>
                </wp:inline>
              </w:drawing>
            </w:r>
          </w:p>
        </w:tc>
      </w:tr>
      <w:tr w:rsidR="00323FF8" w:rsidRPr="00514F1A" w14:paraId="51D89FBF" w14:textId="77777777" w:rsidTr="00323FF8">
        <w:tc>
          <w:tcPr>
            <w:tcW w:w="4927" w:type="dxa"/>
          </w:tcPr>
          <w:p w14:paraId="72779008" w14:textId="77777777" w:rsidR="00323FF8" w:rsidRPr="00514F1A" w:rsidRDefault="00323FF8" w:rsidP="00514F1A">
            <w:pPr>
              <w:rPr>
                <w:rFonts w:ascii="Times New Roman" w:hAnsi="Times New Roman" w:cs="Times New Roman"/>
                <w:b/>
                <w:bCs/>
                <w:sz w:val="24"/>
                <w:szCs w:val="24"/>
              </w:rPr>
            </w:pPr>
          </w:p>
          <w:p w14:paraId="205796C8" w14:textId="77777777" w:rsidR="00323FF8" w:rsidRPr="00514F1A" w:rsidRDefault="00323FF8" w:rsidP="00514F1A">
            <w:pPr>
              <w:rPr>
                <w:rFonts w:ascii="Times New Roman" w:hAnsi="Times New Roman" w:cs="Times New Roman"/>
                <w:b/>
                <w:bCs/>
                <w:sz w:val="24"/>
                <w:szCs w:val="24"/>
              </w:rPr>
            </w:pPr>
          </w:p>
          <w:p w14:paraId="4BD5FB65" w14:textId="77777777" w:rsidR="00323FF8" w:rsidRPr="00514F1A" w:rsidRDefault="00323FF8" w:rsidP="00514F1A">
            <w:pPr>
              <w:rPr>
                <w:rFonts w:ascii="Times New Roman" w:hAnsi="Times New Roman" w:cs="Times New Roman"/>
                <w:b/>
                <w:bCs/>
                <w:sz w:val="24"/>
                <w:szCs w:val="24"/>
              </w:rPr>
            </w:pPr>
          </w:p>
          <w:p w14:paraId="5AF811E8" w14:textId="5B40464E" w:rsidR="00323FF8" w:rsidRPr="00514F1A" w:rsidRDefault="00323FF8" w:rsidP="00514F1A">
            <w:pPr>
              <w:rPr>
                <w:rFonts w:ascii="Times New Roman" w:hAnsi="Times New Roman" w:cs="Times New Roman"/>
                <w:b/>
                <w:bCs/>
                <w:sz w:val="24"/>
                <w:szCs w:val="24"/>
              </w:rPr>
            </w:pPr>
          </w:p>
        </w:tc>
        <w:tc>
          <w:tcPr>
            <w:tcW w:w="4423" w:type="dxa"/>
          </w:tcPr>
          <w:p w14:paraId="79D3EA83" w14:textId="77777777" w:rsidR="00323FF8" w:rsidRPr="00514F1A" w:rsidRDefault="00323FF8" w:rsidP="00514F1A">
            <w:pPr>
              <w:rPr>
                <w:rFonts w:ascii="Times New Roman" w:hAnsi="Times New Roman" w:cs="Times New Roman"/>
                <w:sz w:val="24"/>
                <w:szCs w:val="24"/>
              </w:rPr>
            </w:pPr>
          </w:p>
        </w:tc>
      </w:tr>
      <w:tr w:rsidR="00323FF8" w:rsidRPr="00514F1A" w14:paraId="46D34308" w14:textId="77777777" w:rsidTr="00323FF8">
        <w:tc>
          <w:tcPr>
            <w:tcW w:w="4927" w:type="dxa"/>
          </w:tcPr>
          <w:p w14:paraId="3FFF9864" w14:textId="77777777" w:rsidR="00323FF8" w:rsidRPr="00514F1A" w:rsidRDefault="00323FF8" w:rsidP="00514F1A">
            <w:pPr>
              <w:rPr>
                <w:rFonts w:ascii="Times New Roman" w:hAnsi="Times New Roman" w:cs="Times New Roman"/>
                <w:b/>
                <w:bCs/>
                <w:sz w:val="24"/>
                <w:szCs w:val="24"/>
              </w:rPr>
            </w:pPr>
            <w:r w:rsidRPr="00514F1A">
              <w:rPr>
                <w:rFonts w:ascii="Times New Roman" w:hAnsi="Times New Roman" w:cs="Times New Roman"/>
                <w:b/>
                <w:bCs/>
                <w:sz w:val="24"/>
                <w:szCs w:val="24"/>
              </w:rPr>
              <w:t>m) Quercetin- SRC</w:t>
            </w:r>
          </w:p>
          <w:p w14:paraId="4B861150" w14:textId="77777777" w:rsidR="00323FF8" w:rsidRPr="00514F1A" w:rsidRDefault="00323FF8" w:rsidP="00514F1A">
            <w:pPr>
              <w:rPr>
                <w:rFonts w:ascii="Times New Roman" w:hAnsi="Times New Roman" w:cs="Times New Roman"/>
                <w:sz w:val="24"/>
                <w:szCs w:val="24"/>
              </w:rPr>
            </w:pPr>
            <w:r w:rsidRPr="00514F1A">
              <w:rPr>
                <w:rFonts w:ascii="Times New Roman" w:hAnsi="Times New Roman" w:cs="Times New Roman"/>
                <w:noProof/>
                <w:sz w:val="24"/>
                <w:szCs w:val="24"/>
              </w:rPr>
              <w:drawing>
                <wp:inline distT="0" distB="0" distL="0" distR="0" wp14:anchorId="70A037AE" wp14:editId="4D84FB28">
                  <wp:extent cx="2370667" cy="227358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78831" cy="2281416"/>
                          </a:xfrm>
                          <a:prstGeom prst="rect">
                            <a:avLst/>
                          </a:prstGeom>
                          <a:noFill/>
                          <a:ln>
                            <a:noFill/>
                          </a:ln>
                        </pic:spPr>
                      </pic:pic>
                    </a:graphicData>
                  </a:graphic>
                </wp:inline>
              </w:drawing>
            </w:r>
          </w:p>
        </w:tc>
        <w:tc>
          <w:tcPr>
            <w:tcW w:w="4423" w:type="dxa"/>
          </w:tcPr>
          <w:p w14:paraId="715313DC" w14:textId="77777777" w:rsidR="00323FF8" w:rsidRPr="00514F1A" w:rsidRDefault="00323FF8" w:rsidP="00514F1A">
            <w:pPr>
              <w:rPr>
                <w:rFonts w:ascii="Times New Roman" w:hAnsi="Times New Roman" w:cs="Times New Roman"/>
                <w:b/>
                <w:bCs/>
                <w:sz w:val="24"/>
                <w:szCs w:val="24"/>
              </w:rPr>
            </w:pPr>
            <w:proofErr w:type="gramStart"/>
            <w:r w:rsidRPr="00514F1A">
              <w:rPr>
                <w:rFonts w:ascii="Times New Roman" w:hAnsi="Times New Roman" w:cs="Times New Roman"/>
                <w:b/>
                <w:bCs/>
                <w:sz w:val="24"/>
                <w:szCs w:val="24"/>
              </w:rPr>
              <w:t>n)Rutin</w:t>
            </w:r>
            <w:proofErr w:type="gramEnd"/>
            <w:r w:rsidRPr="00514F1A">
              <w:rPr>
                <w:rFonts w:ascii="Times New Roman" w:hAnsi="Times New Roman" w:cs="Times New Roman"/>
                <w:b/>
                <w:bCs/>
                <w:sz w:val="24"/>
                <w:szCs w:val="24"/>
              </w:rPr>
              <w:t>- TNF</w:t>
            </w:r>
          </w:p>
          <w:p w14:paraId="1B2DCB0C" w14:textId="77777777" w:rsidR="00323FF8" w:rsidRPr="00514F1A" w:rsidRDefault="00323FF8" w:rsidP="00514F1A">
            <w:pPr>
              <w:rPr>
                <w:rFonts w:ascii="Times New Roman" w:hAnsi="Times New Roman" w:cs="Times New Roman"/>
                <w:sz w:val="24"/>
                <w:szCs w:val="24"/>
              </w:rPr>
            </w:pPr>
            <w:r w:rsidRPr="00514F1A">
              <w:rPr>
                <w:rFonts w:ascii="Times New Roman" w:hAnsi="Times New Roman" w:cs="Times New Roman"/>
                <w:noProof/>
                <w:sz w:val="24"/>
                <w:szCs w:val="24"/>
              </w:rPr>
              <w:drawing>
                <wp:inline distT="0" distB="0" distL="0" distR="0" wp14:anchorId="01A40B92" wp14:editId="0D5C91F2">
                  <wp:extent cx="2525749" cy="2480733"/>
                  <wp:effectExtent l="0" t="0" r="82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30746" cy="2485641"/>
                          </a:xfrm>
                          <a:prstGeom prst="rect">
                            <a:avLst/>
                          </a:prstGeom>
                          <a:noFill/>
                          <a:ln>
                            <a:noFill/>
                          </a:ln>
                        </pic:spPr>
                      </pic:pic>
                    </a:graphicData>
                  </a:graphic>
                </wp:inline>
              </w:drawing>
            </w:r>
          </w:p>
        </w:tc>
      </w:tr>
      <w:tr w:rsidR="00323FF8" w:rsidRPr="00514F1A" w14:paraId="7061CEE1" w14:textId="77777777" w:rsidTr="00323FF8">
        <w:tc>
          <w:tcPr>
            <w:tcW w:w="4927" w:type="dxa"/>
          </w:tcPr>
          <w:p w14:paraId="3E522D29" w14:textId="77777777" w:rsidR="00323FF8" w:rsidRPr="00514F1A" w:rsidRDefault="00323FF8" w:rsidP="00514F1A">
            <w:pPr>
              <w:rPr>
                <w:rFonts w:ascii="Times New Roman" w:hAnsi="Times New Roman" w:cs="Times New Roman"/>
                <w:b/>
                <w:bCs/>
                <w:sz w:val="24"/>
                <w:szCs w:val="24"/>
              </w:rPr>
            </w:pPr>
          </w:p>
        </w:tc>
        <w:tc>
          <w:tcPr>
            <w:tcW w:w="4423" w:type="dxa"/>
          </w:tcPr>
          <w:p w14:paraId="719B5D93" w14:textId="77777777" w:rsidR="00323FF8" w:rsidRPr="00514F1A" w:rsidRDefault="00323FF8" w:rsidP="00514F1A">
            <w:pPr>
              <w:rPr>
                <w:rFonts w:ascii="Times New Roman" w:hAnsi="Times New Roman" w:cs="Times New Roman"/>
                <w:b/>
                <w:bCs/>
                <w:sz w:val="24"/>
                <w:szCs w:val="24"/>
              </w:rPr>
            </w:pPr>
          </w:p>
        </w:tc>
      </w:tr>
    </w:tbl>
    <w:p w14:paraId="5192DCEC" w14:textId="0A321E7B" w:rsidR="00323FF8" w:rsidRPr="00514F1A" w:rsidRDefault="00323FF8" w:rsidP="00514F1A">
      <w:pPr>
        <w:spacing w:after="0" w:line="360" w:lineRule="auto"/>
        <w:jc w:val="both"/>
        <w:rPr>
          <w:rFonts w:ascii="Times New Roman" w:hAnsi="Times New Roman" w:cs="Times New Roman"/>
          <w:sz w:val="24"/>
          <w:szCs w:val="24"/>
        </w:rPr>
      </w:pPr>
    </w:p>
    <w:p w14:paraId="3FC818DE" w14:textId="77777777" w:rsidR="00323FF8" w:rsidRPr="00514F1A" w:rsidRDefault="00323FF8" w:rsidP="00514F1A">
      <w:pPr>
        <w:spacing w:after="0" w:line="360" w:lineRule="auto"/>
        <w:jc w:val="both"/>
        <w:rPr>
          <w:rFonts w:ascii="Times New Roman" w:hAnsi="Times New Roman" w:cs="Times New Roman"/>
          <w:sz w:val="24"/>
          <w:szCs w:val="24"/>
        </w:rPr>
      </w:pPr>
    </w:p>
    <w:p w14:paraId="3A610C26" w14:textId="4189CAFC" w:rsidR="00942097" w:rsidRPr="00514F1A" w:rsidRDefault="00942097" w:rsidP="00514F1A">
      <w:pPr>
        <w:spacing w:after="0" w:line="360" w:lineRule="auto"/>
        <w:jc w:val="both"/>
        <w:rPr>
          <w:rFonts w:ascii="Times New Roman" w:hAnsi="Times New Roman" w:cs="Times New Roman"/>
          <w:sz w:val="24"/>
          <w:szCs w:val="24"/>
        </w:rPr>
      </w:pPr>
      <w:r w:rsidRPr="00514F1A">
        <w:rPr>
          <w:rFonts w:ascii="Times New Roman" w:hAnsi="Times New Roman" w:cs="Times New Roman"/>
          <w:b/>
          <w:bCs/>
          <w:sz w:val="24"/>
          <w:szCs w:val="24"/>
        </w:rPr>
        <w:t>Figure S4</w:t>
      </w:r>
      <w:r w:rsidRPr="00514F1A">
        <w:rPr>
          <w:rFonts w:ascii="Times New Roman" w:hAnsi="Times New Roman" w:cs="Times New Roman"/>
          <w:sz w:val="24"/>
          <w:szCs w:val="24"/>
        </w:rPr>
        <w:t>: 2D diagram representing protein ligand docking Parkinson related targets and A. Africana compounds</w:t>
      </w:r>
    </w:p>
    <w:p w14:paraId="35943A3D" w14:textId="77777777" w:rsidR="00834887" w:rsidRPr="00514F1A" w:rsidRDefault="00834887" w:rsidP="00514F1A">
      <w:pPr>
        <w:spacing w:after="0" w:line="360" w:lineRule="auto"/>
        <w:jc w:val="both"/>
        <w:rPr>
          <w:rFonts w:ascii="Times New Roman" w:hAnsi="Times New Roman" w:cs="Times New Roman"/>
          <w:sz w:val="24"/>
          <w:szCs w:val="24"/>
        </w:rPr>
      </w:pPr>
    </w:p>
    <w:p w14:paraId="712DFC95" w14:textId="47D677BA" w:rsidR="00834887" w:rsidRPr="00514F1A" w:rsidRDefault="00514F1A" w:rsidP="00514F1A">
      <w:pPr>
        <w:spacing w:after="0" w:line="240" w:lineRule="auto"/>
        <w:jc w:val="both"/>
        <w:rPr>
          <w:rFonts w:ascii="Times New Roman" w:hAnsi="Times New Roman" w:cs="Times New Roman"/>
          <w:b/>
          <w:sz w:val="24"/>
          <w:szCs w:val="24"/>
        </w:rPr>
      </w:pPr>
      <w:r w:rsidRPr="00514F1A">
        <w:rPr>
          <w:rFonts w:ascii="Times New Roman" w:hAnsi="Times New Roman" w:cs="Times New Roman"/>
          <w:sz w:val="24"/>
          <w:szCs w:val="24"/>
        </w:rPr>
        <w:t>5.</w:t>
      </w:r>
      <w:r w:rsidR="00834887" w:rsidRPr="00514F1A">
        <w:rPr>
          <w:rFonts w:ascii="Times New Roman" w:hAnsi="Times New Roman" w:cs="Times New Roman"/>
          <w:b/>
          <w:sz w:val="24"/>
          <w:szCs w:val="24"/>
        </w:rPr>
        <w:t xml:space="preserve"> Molecular Dynamic Simulatio</w:t>
      </w:r>
      <w:bookmarkStart w:id="1" w:name="_Hlk187700856"/>
      <w:r w:rsidR="00834887" w:rsidRPr="00514F1A">
        <w:rPr>
          <w:rFonts w:ascii="Times New Roman" w:hAnsi="Times New Roman" w:cs="Times New Roman"/>
          <w:b/>
          <w:sz w:val="24"/>
          <w:szCs w:val="24"/>
        </w:rPr>
        <w:t>n</w:t>
      </w:r>
    </w:p>
    <w:p w14:paraId="0C3FE67B" w14:textId="77777777" w:rsidR="00834887" w:rsidRPr="00514F1A" w:rsidRDefault="00834887" w:rsidP="00514F1A">
      <w:pPr>
        <w:spacing w:after="0" w:line="240" w:lineRule="auto"/>
        <w:jc w:val="both"/>
        <w:rPr>
          <w:rFonts w:ascii="Times New Roman" w:eastAsia="Times New Roman" w:hAnsi="Times New Roman" w:cs="Times New Roman"/>
          <w:b/>
          <w:bCs/>
          <w:color w:val="000000" w:themeColor="text1"/>
          <w:sz w:val="24"/>
          <w:szCs w:val="24"/>
        </w:rPr>
      </w:pPr>
    </w:p>
    <w:p w14:paraId="0A79A406" w14:textId="77777777" w:rsidR="00834887" w:rsidRPr="00514F1A" w:rsidRDefault="00834887" w:rsidP="00514F1A">
      <w:pPr>
        <w:spacing w:after="0" w:line="240" w:lineRule="auto"/>
        <w:jc w:val="both"/>
        <w:rPr>
          <w:rFonts w:ascii="Times New Roman" w:eastAsia="Times New Roman" w:hAnsi="Times New Roman" w:cs="Times New Roman"/>
          <w:b/>
          <w:bCs/>
          <w:color w:val="000000" w:themeColor="text1"/>
          <w:sz w:val="24"/>
          <w:szCs w:val="24"/>
        </w:rPr>
      </w:pPr>
    </w:p>
    <w:p w14:paraId="77963B84" w14:textId="0B74B0F1" w:rsidR="00834887" w:rsidRPr="00514F1A" w:rsidRDefault="00514F1A" w:rsidP="00514F1A">
      <w:pPr>
        <w:spacing w:after="0" w:line="240" w:lineRule="auto"/>
        <w:jc w:val="both"/>
        <w:rPr>
          <w:rFonts w:ascii="Times New Roman" w:eastAsia="Times New Roman" w:hAnsi="Times New Roman" w:cs="Times New Roman"/>
          <w:b/>
          <w:bCs/>
          <w:color w:val="000000" w:themeColor="text1"/>
          <w:sz w:val="24"/>
          <w:szCs w:val="24"/>
        </w:rPr>
      </w:pPr>
      <w:proofErr w:type="gramStart"/>
      <w:r w:rsidRPr="00514F1A">
        <w:rPr>
          <w:rFonts w:ascii="Times New Roman" w:eastAsia="Times New Roman" w:hAnsi="Times New Roman" w:cs="Times New Roman"/>
          <w:b/>
          <w:bCs/>
          <w:color w:val="000000" w:themeColor="text1"/>
          <w:sz w:val="24"/>
          <w:szCs w:val="24"/>
        </w:rPr>
        <w:t xml:space="preserve">5.1 </w:t>
      </w:r>
      <w:r w:rsidR="00834887" w:rsidRPr="00514F1A">
        <w:rPr>
          <w:rFonts w:ascii="Times New Roman" w:eastAsia="Times New Roman" w:hAnsi="Times New Roman" w:cs="Times New Roman"/>
          <w:b/>
          <w:bCs/>
          <w:color w:val="000000" w:themeColor="text1"/>
          <w:sz w:val="24"/>
          <w:szCs w:val="24"/>
        </w:rPr>
        <w:t xml:space="preserve"> Solvent</w:t>
      </w:r>
      <w:proofErr w:type="gramEnd"/>
      <w:r w:rsidR="00834887" w:rsidRPr="00514F1A">
        <w:rPr>
          <w:rFonts w:ascii="Times New Roman" w:eastAsia="Times New Roman" w:hAnsi="Times New Roman" w:cs="Times New Roman"/>
          <w:b/>
          <w:bCs/>
          <w:color w:val="000000" w:themeColor="text1"/>
          <w:sz w:val="24"/>
          <w:szCs w:val="24"/>
        </w:rPr>
        <w:t xml:space="preserve"> Accessible Surface Area (SASA)</w:t>
      </w:r>
    </w:p>
    <w:p w14:paraId="59761FC7" w14:textId="77777777" w:rsidR="00834887" w:rsidRPr="00514F1A" w:rsidRDefault="00834887" w:rsidP="00514F1A">
      <w:pPr>
        <w:spacing w:after="0" w:line="240" w:lineRule="auto"/>
        <w:rPr>
          <w:rFonts w:ascii="Times New Roman" w:eastAsia="Times New Roman" w:hAnsi="Times New Roman" w:cs="Times New Roman"/>
          <w:sz w:val="24"/>
          <w:szCs w:val="24"/>
        </w:rPr>
      </w:pPr>
    </w:p>
    <w:p w14:paraId="23ADF3A1" w14:textId="77777777" w:rsidR="00834887" w:rsidRPr="00514F1A" w:rsidRDefault="00834887" w:rsidP="00514F1A">
      <w:pPr>
        <w:spacing w:after="0" w:line="240" w:lineRule="auto"/>
        <w:jc w:val="both"/>
        <w:rPr>
          <w:rFonts w:ascii="Times New Roman" w:eastAsia="Times New Roman" w:hAnsi="Times New Roman" w:cs="Times New Roman"/>
          <w:noProof/>
          <w:color w:val="000000" w:themeColor="text1"/>
          <w:sz w:val="24"/>
          <w:szCs w:val="24"/>
        </w:rPr>
      </w:pPr>
      <w:r w:rsidRPr="00514F1A">
        <w:rPr>
          <w:rFonts w:ascii="Times New Roman" w:eastAsia="Times New Roman" w:hAnsi="Times New Roman" w:cs="Times New Roman"/>
          <w:sz w:val="24"/>
          <w:szCs w:val="24"/>
        </w:rPr>
        <w:t>The Solvent Accessible Surface Area (SASA) analysis presented in Figure 4 provides insights into the conformational exposure of the protein–ligand complexes to the surrounding solvent over a 100-nanosecond simulation. In panel I, the AKT1–</w:t>
      </w:r>
      <w:proofErr w:type="spellStart"/>
      <w:r w:rsidRPr="00514F1A">
        <w:rPr>
          <w:rFonts w:ascii="Times New Roman" w:eastAsia="Times New Roman" w:hAnsi="Times New Roman" w:cs="Times New Roman"/>
          <w:sz w:val="24"/>
          <w:szCs w:val="24"/>
        </w:rPr>
        <w:t>isoquercetin</w:t>
      </w:r>
      <w:proofErr w:type="spellEnd"/>
      <w:r w:rsidRPr="00514F1A">
        <w:rPr>
          <w:rFonts w:ascii="Times New Roman" w:eastAsia="Times New Roman" w:hAnsi="Times New Roman" w:cs="Times New Roman"/>
          <w:sz w:val="24"/>
          <w:szCs w:val="24"/>
        </w:rPr>
        <w:t xml:space="preserve"> complex demonstrates relatively stable SASA values fluctuating between ~230 and 250 nm², indicating minimal solvent-induced conformational changes. Panel II displays the SASA profiles for EGFR–quercetin and EGFR–rutin complexes, which both exhibit an initial decrease from ~780 nm² to ~660 nm² within the first 20 ns, followed by consistent fluctuations in the range of 640–680 nm², suggesting improved compactness post-ligand binding. In panel III, the ESR–rutin complex shows a marked decline from ~560 nm² to ~330 nm² within the first 40 ns, followed by sustained low values, indicating a more buried and stable conformation. In panel IV, both SRC–ellagic acid and SRC–rutin complexes initially decrease from ~340 nm² to ~290 nm² and then fluctuate between 280 and 310 nm², reflecting compact and stable structures. Finally, the TP53–rutin complex (panel V) exhibits the most dramatic SASA reduction, dropping from ~2900 nm² to ~1400 nm² by the end of the simulation, signifying a significant decrease in solvent exposure and enhanced structural consolidation. These results collectively support the notion that ligand binding—especially by rutin and ellagic acid—promotes reduced solvent accessibility, indicative of tighter, more stable protein structures.</w:t>
      </w:r>
    </w:p>
    <w:p w14:paraId="63683543" w14:textId="77777777" w:rsidR="00834887" w:rsidRPr="00514F1A" w:rsidRDefault="00834887" w:rsidP="00514F1A">
      <w:pPr>
        <w:spacing w:after="0" w:line="240" w:lineRule="auto"/>
        <w:rPr>
          <w:rFonts w:ascii="Times New Roman" w:eastAsia="Times New Roman" w:hAnsi="Times New Roman" w:cs="Times New Roman"/>
          <w:color w:val="000000" w:themeColor="text1"/>
          <w:sz w:val="24"/>
          <w:szCs w:val="24"/>
        </w:rPr>
      </w:pPr>
      <w:r w:rsidRPr="00514F1A">
        <w:rPr>
          <w:rFonts w:ascii="Times New Roman" w:eastAsia="Times New Roman" w:hAnsi="Times New Roman" w:cs="Times New Roman"/>
          <w:noProof/>
          <w:color w:val="000000" w:themeColor="text1"/>
          <w:sz w:val="24"/>
          <w:szCs w:val="24"/>
        </w:rPr>
        <w:drawing>
          <wp:inline distT="0" distB="0" distL="0" distR="0" wp14:anchorId="1C928CE4" wp14:editId="201294A9">
            <wp:extent cx="6315523" cy="3281253"/>
            <wp:effectExtent l="0" t="0" r="9525" b="0"/>
            <wp:docPr id="1057743903" name="Picture 7" descr="A group of graphs showing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743903" name="Picture 7" descr="A group of graphs showing different types of data&#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25483" cy="3286428"/>
                    </a:xfrm>
                    <a:prstGeom prst="rect">
                      <a:avLst/>
                    </a:prstGeom>
                    <a:noFill/>
                  </pic:spPr>
                </pic:pic>
              </a:graphicData>
            </a:graphic>
          </wp:inline>
        </w:drawing>
      </w:r>
    </w:p>
    <w:p w14:paraId="2FD03A03" w14:textId="77777777" w:rsidR="00834887" w:rsidRPr="00514F1A" w:rsidRDefault="00834887" w:rsidP="00514F1A">
      <w:pPr>
        <w:spacing w:after="0" w:line="240" w:lineRule="auto"/>
        <w:rPr>
          <w:rFonts w:ascii="Times New Roman" w:eastAsia="Times New Roman" w:hAnsi="Times New Roman" w:cs="Times New Roman"/>
          <w:color w:val="000000" w:themeColor="text1"/>
          <w:sz w:val="24"/>
          <w:szCs w:val="24"/>
        </w:rPr>
      </w:pPr>
    </w:p>
    <w:p w14:paraId="624E436E" w14:textId="7C4A4A1B" w:rsidR="00834887" w:rsidRPr="00514F1A" w:rsidRDefault="00834887" w:rsidP="00514F1A">
      <w:pPr>
        <w:spacing w:after="0" w:line="240" w:lineRule="auto"/>
        <w:jc w:val="both"/>
        <w:rPr>
          <w:rFonts w:ascii="Times New Roman" w:eastAsia="Times New Roman" w:hAnsi="Times New Roman" w:cs="Times New Roman"/>
          <w:color w:val="000000" w:themeColor="text1"/>
          <w:sz w:val="24"/>
          <w:szCs w:val="24"/>
        </w:rPr>
      </w:pPr>
      <w:bookmarkStart w:id="2" w:name="_Hlk202121250"/>
      <w:r w:rsidRPr="00514F1A">
        <w:rPr>
          <w:rFonts w:ascii="Times New Roman" w:hAnsi="Times New Roman" w:cs="Times New Roman"/>
          <w:b/>
          <w:bCs/>
          <w:sz w:val="24"/>
          <w:szCs w:val="24"/>
        </w:rPr>
        <w:t>Figure S5</w:t>
      </w:r>
      <w:bookmarkEnd w:id="2"/>
      <w:r w:rsidRPr="00514F1A">
        <w:rPr>
          <w:rFonts w:ascii="Times New Roman" w:hAnsi="Times New Roman" w:cs="Times New Roman"/>
          <w:sz w:val="24"/>
          <w:szCs w:val="24"/>
        </w:rPr>
        <w:t xml:space="preserve">: </w:t>
      </w:r>
      <w:r w:rsidRPr="00514F1A">
        <w:rPr>
          <w:rFonts w:ascii="Times New Roman" w:eastAsia="Times New Roman" w:hAnsi="Times New Roman" w:cs="Times New Roman"/>
          <w:color w:val="000000" w:themeColor="text1"/>
          <w:sz w:val="24"/>
          <w:szCs w:val="24"/>
        </w:rPr>
        <w:t>SASA (Solvent Accessible Surface Area)</w:t>
      </w:r>
    </w:p>
    <w:p w14:paraId="6F7DB198" w14:textId="77777777" w:rsidR="00834887" w:rsidRPr="00514F1A" w:rsidRDefault="00834887" w:rsidP="00514F1A">
      <w:pPr>
        <w:spacing w:after="0" w:line="240" w:lineRule="auto"/>
        <w:jc w:val="both"/>
        <w:rPr>
          <w:rFonts w:ascii="Times New Roman" w:eastAsia="Times New Roman" w:hAnsi="Times New Roman" w:cs="Times New Roman"/>
          <w:color w:val="000000" w:themeColor="text1"/>
          <w:sz w:val="24"/>
          <w:szCs w:val="24"/>
        </w:rPr>
      </w:pPr>
    </w:p>
    <w:p w14:paraId="4412FDDE" w14:textId="77777777" w:rsidR="00834887" w:rsidRPr="00514F1A" w:rsidRDefault="00834887" w:rsidP="00514F1A">
      <w:pPr>
        <w:spacing w:after="0" w:line="240" w:lineRule="auto"/>
        <w:jc w:val="both"/>
        <w:rPr>
          <w:rFonts w:ascii="Times New Roman" w:eastAsia="Times New Roman" w:hAnsi="Times New Roman" w:cs="Times New Roman"/>
          <w:color w:val="000000" w:themeColor="text1"/>
          <w:sz w:val="24"/>
          <w:szCs w:val="24"/>
        </w:rPr>
      </w:pPr>
    </w:p>
    <w:p w14:paraId="207230E4" w14:textId="313B25BF" w:rsidR="00834887" w:rsidRPr="00514F1A" w:rsidRDefault="00514F1A" w:rsidP="00514F1A">
      <w:pPr>
        <w:spacing w:after="0" w:line="240" w:lineRule="auto"/>
        <w:rPr>
          <w:rFonts w:ascii="Times New Roman" w:eastAsia="Times New Roman" w:hAnsi="Times New Roman" w:cs="Times New Roman"/>
          <w:b/>
          <w:bCs/>
          <w:sz w:val="24"/>
          <w:szCs w:val="24"/>
        </w:rPr>
      </w:pPr>
      <w:r w:rsidRPr="00514F1A">
        <w:rPr>
          <w:rFonts w:ascii="Times New Roman" w:eastAsia="Times New Roman" w:hAnsi="Times New Roman" w:cs="Times New Roman"/>
          <w:b/>
          <w:bCs/>
          <w:sz w:val="24"/>
          <w:szCs w:val="24"/>
        </w:rPr>
        <w:t>5</w:t>
      </w:r>
      <w:r w:rsidR="00834887" w:rsidRPr="00514F1A">
        <w:rPr>
          <w:rFonts w:ascii="Times New Roman" w:eastAsia="Times New Roman" w:hAnsi="Times New Roman" w:cs="Times New Roman"/>
          <w:b/>
          <w:bCs/>
          <w:sz w:val="24"/>
          <w:szCs w:val="24"/>
        </w:rPr>
        <w:t>.2 MMGBSA</w:t>
      </w:r>
    </w:p>
    <w:p w14:paraId="57CA5E1D" w14:textId="77777777" w:rsidR="00834887" w:rsidRPr="00514F1A" w:rsidRDefault="00834887" w:rsidP="00514F1A">
      <w:pPr>
        <w:spacing w:after="0" w:line="240" w:lineRule="auto"/>
        <w:jc w:val="both"/>
        <w:rPr>
          <w:rFonts w:ascii="Times New Roman" w:eastAsia="Times New Roman" w:hAnsi="Times New Roman" w:cs="Times New Roman"/>
          <w:sz w:val="24"/>
          <w:szCs w:val="24"/>
        </w:rPr>
      </w:pPr>
      <w:r w:rsidRPr="00514F1A">
        <w:rPr>
          <w:rFonts w:ascii="Times New Roman" w:eastAsia="Times New Roman" w:hAnsi="Times New Roman" w:cs="Times New Roman"/>
          <w:sz w:val="24"/>
          <w:szCs w:val="24"/>
        </w:rPr>
        <w:t>The MM/GBSA free energy decomposition analysis summarized in Table 1 provides key insights into the binding affinities and energetic contributions of each protein–ligand complex. Among all complexes, ESR–rutin exhibited the most favorable binding energy with a TOTAL ΔG of –49.54 kcal/mol, primarily driven by strong van der Waals (VDWAALS = –65 kcal/mol) and electrostatic (EEL = –38.44 kcal/mol) interactions, along with favorable solvation penalties (GSOLV = 53.90 kcal/mol). Similarly, SRC–ellagic acid and AKT1–</w:t>
      </w:r>
      <w:proofErr w:type="spellStart"/>
      <w:r w:rsidRPr="00514F1A">
        <w:rPr>
          <w:rFonts w:ascii="Times New Roman" w:eastAsia="Times New Roman" w:hAnsi="Times New Roman" w:cs="Times New Roman"/>
          <w:sz w:val="24"/>
          <w:szCs w:val="24"/>
        </w:rPr>
        <w:t>isoquercetin</w:t>
      </w:r>
      <w:proofErr w:type="spellEnd"/>
      <w:r w:rsidRPr="00514F1A">
        <w:rPr>
          <w:rFonts w:ascii="Times New Roman" w:eastAsia="Times New Roman" w:hAnsi="Times New Roman" w:cs="Times New Roman"/>
          <w:sz w:val="24"/>
          <w:szCs w:val="24"/>
        </w:rPr>
        <w:t xml:space="preserve"> displayed notable binding free energies of –27.24 kcal/mol and –26.86 kcal/mol, respectively, with substantial gas-phase contributions (GGAS = –75.45 and –79.7 kcal/mol). The TP53–rutin complex showed a binding energy of –25.51 kcal/mol, supported by strong EEL (–37.09 kcal/mol) and moderate non-polar solvation (ESURF = –5.17 kcal/mol). While both EGFR–rutin and EGFR–quercetin exhibited less favorable binding energies (–19.80 and –16.39 kcal/mol, respectively), EGFR–rutin benefitted more from van der Waals interactions (VDWAALS = –33.05 kcal/mol) compared to EGFR–quercetin (–18.42 kcal/mol). Notably, the SRC–rutin complex reported a highly anomalous TOTAL ΔG of +445.51 kcal/mol, likely due to an abnormal van der Waals energy (VDWAALS = +417.15 kcal/mol), which may indicate a miscalculation or unstable binding interaction in this specific simulation. Overall, rutin and </w:t>
      </w:r>
      <w:proofErr w:type="spellStart"/>
      <w:r w:rsidRPr="00514F1A">
        <w:rPr>
          <w:rFonts w:ascii="Times New Roman" w:eastAsia="Times New Roman" w:hAnsi="Times New Roman" w:cs="Times New Roman"/>
          <w:sz w:val="24"/>
          <w:szCs w:val="24"/>
        </w:rPr>
        <w:t>isoquercetin</w:t>
      </w:r>
      <w:proofErr w:type="spellEnd"/>
      <w:r w:rsidRPr="00514F1A">
        <w:rPr>
          <w:rFonts w:ascii="Times New Roman" w:eastAsia="Times New Roman" w:hAnsi="Times New Roman" w:cs="Times New Roman"/>
          <w:sz w:val="24"/>
          <w:szCs w:val="24"/>
        </w:rPr>
        <w:t xml:space="preserve"> exhibit consistently favorable binding energetics across multiple protein targets, with ESR–rutin emerging as the most thermodynamically stable complex in this analysis, as shown in Table 1 and Figure 6.</w:t>
      </w:r>
    </w:p>
    <w:p w14:paraId="09896B1C" w14:textId="77777777" w:rsidR="00834887" w:rsidRPr="00514F1A" w:rsidRDefault="00834887" w:rsidP="00514F1A">
      <w:pPr>
        <w:spacing w:after="0" w:line="240" w:lineRule="auto"/>
        <w:jc w:val="both"/>
        <w:rPr>
          <w:rFonts w:ascii="Times New Roman" w:eastAsia="Times New Roman" w:hAnsi="Times New Roman" w:cs="Times New Roman"/>
          <w:sz w:val="24"/>
          <w:szCs w:val="24"/>
        </w:rPr>
      </w:pPr>
      <w:r w:rsidRPr="00514F1A">
        <w:rPr>
          <w:rFonts w:ascii="Times New Roman" w:eastAsia="Times New Roman" w:hAnsi="Times New Roman" w:cs="Times New Roman"/>
          <w:noProof/>
          <w:sz w:val="24"/>
          <w:szCs w:val="24"/>
        </w:rPr>
        <w:drawing>
          <wp:inline distT="0" distB="0" distL="0" distR="0" wp14:anchorId="63393A1C" wp14:editId="75FE763A">
            <wp:extent cx="5883907" cy="4321629"/>
            <wp:effectExtent l="0" t="0" r="3175" b="3175"/>
            <wp:docPr id="444459180" name="Picture 1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459180" name="Picture 12" descr="A screenshot of a graph&#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20325" cy="4348377"/>
                    </a:xfrm>
                    <a:prstGeom prst="rect">
                      <a:avLst/>
                    </a:prstGeom>
                    <a:noFill/>
                  </pic:spPr>
                </pic:pic>
              </a:graphicData>
            </a:graphic>
          </wp:inline>
        </w:drawing>
      </w:r>
    </w:p>
    <w:p w14:paraId="00693E1B" w14:textId="661523E6" w:rsidR="00834887" w:rsidRPr="00514F1A" w:rsidRDefault="00834887" w:rsidP="00514F1A">
      <w:pPr>
        <w:spacing w:after="0" w:line="240" w:lineRule="auto"/>
        <w:rPr>
          <w:rFonts w:ascii="Times New Roman" w:eastAsia="Times New Roman" w:hAnsi="Times New Roman" w:cs="Times New Roman"/>
          <w:sz w:val="24"/>
          <w:szCs w:val="24"/>
        </w:rPr>
      </w:pPr>
      <w:bookmarkStart w:id="3" w:name="_Hlk202121726"/>
      <w:r w:rsidRPr="00514F1A">
        <w:rPr>
          <w:rFonts w:ascii="Times New Roman" w:hAnsi="Times New Roman" w:cs="Times New Roman"/>
          <w:b/>
          <w:bCs/>
          <w:sz w:val="24"/>
          <w:szCs w:val="24"/>
        </w:rPr>
        <w:t>Figure S6</w:t>
      </w:r>
      <w:bookmarkEnd w:id="3"/>
      <w:r w:rsidRPr="00514F1A">
        <w:rPr>
          <w:rFonts w:ascii="Times New Roman" w:eastAsia="Times New Roman" w:hAnsi="Times New Roman" w:cs="Times New Roman"/>
          <w:b/>
          <w:bCs/>
          <w:sz w:val="24"/>
          <w:szCs w:val="24"/>
        </w:rPr>
        <w:t xml:space="preserve">: </w:t>
      </w:r>
      <w:r w:rsidRPr="00514F1A">
        <w:rPr>
          <w:rFonts w:ascii="Times New Roman" w:eastAsia="Times New Roman" w:hAnsi="Times New Roman" w:cs="Times New Roman"/>
          <w:sz w:val="24"/>
          <w:szCs w:val="24"/>
        </w:rPr>
        <w:t>MMGBSA of (I) AKT1-isoquercetin (II) EGFR-quercetin (III) EGFR-rutin (IV) ESR-rutin (V) SRC-ellagic acid (VI) SRC-rutin (VII) TP53-rutin</w:t>
      </w:r>
      <w:bookmarkEnd w:id="1"/>
    </w:p>
    <w:p w14:paraId="4CAE54D0" w14:textId="4CFF4D37" w:rsidR="00834887" w:rsidRPr="00514F1A" w:rsidRDefault="00514F1A" w:rsidP="00514F1A">
      <w:pPr>
        <w:spacing w:after="0" w:line="240" w:lineRule="auto"/>
        <w:rPr>
          <w:rFonts w:ascii="Times New Roman" w:eastAsia="Times New Roman" w:hAnsi="Times New Roman" w:cs="Times New Roman"/>
          <w:sz w:val="24"/>
          <w:szCs w:val="24"/>
        </w:rPr>
      </w:pPr>
      <w:r w:rsidRPr="00514F1A">
        <w:rPr>
          <w:rFonts w:ascii="Times New Roman" w:eastAsia="Times New Roman" w:hAnsi="Times New Roman" w:cs="Times New Roman"/>
          <w:sz w:val="24"/>
          <w:szCs w:val="24"/>
        </w:rPr>
        <w:t>5.3</w:t>
      </w:r>
      <w:r w:rsidR="00834887" w:rsidRPr="00514F1A">
        <w:rPr>
          <w:rFonts w:ascii="Times New Roman" w:eastAsia="Times New Roman" w:hAnsi="Times New Roman" w:cs="Times New Roman"/>
          <w:sz w:val="24"/>
          <w:szCs w:val="24"/>
        </w:rPr>
        <w:t xml:space="preserve"> </w:t>
      </w:r>
      <w:r w:rsidR="00834887" w:rsidRPr="00514F1A">
        <w:rPr>
          <w:rFonts w:ascii="Times New Roman" w:eastAsia="Times New Roman" w:hAnsi="Times New Roman" w:cs="Times New Roman"/>
          <w:color w:val="000000" w:themeColor="text1"/>
          <w:sz w:val="24"/>
          <w:szCs w:val="24"/>
        </w:rPr>
        <w:t>Total Decomposition Component (TDC)</w:t>
      </w:r>
    </w:p>
    <w:p w14:paraId="56F89ADC" w14:textId="77777777" w:rsidR="00834887" w:rsidRPr="00514F1A" w:rsidRDefault="00834887" w:rsidP="00514F1A">
      <w:pPr>
        <w:spacing w:after="0" w:line="240" w:lineRule="auto"/>
        <w:jc w:val="both"/>
        <w:rPr>
          <w:rFonts w:ascii="Times New Roman" w:eastAsia="Times New Roman" w:hAnsi="Times New Roman" w:cs="Times New Roman"/>
          <w:color w:val="000000" w:themeColor="text1"/>
          <w:sz w:val="24"/>
          <w:szCs w:val="24"/>
        </w:rPr>
      </w:pPr>
    </w:p>
    <w:p w14:paraId="1A59C7F6" w14:textId="77777777" w:rsidR="00834887" w:rsidRPr="00514F1A" w:rsidRDefault="00834887" w:rsidP="00514F1A">
      <w:pPr>
        <w:spacing w:after="0" w:line="240" w:lineRule="auto"/>
        <w:jc w:val="both"/>
        <w:rPr>
          <w:rFonts w:ascii="Times New Roman" w:eastAsia="Times New Roman" w:hAnsi="Times New Roman" w:cs="Times New Roman"/>
          <w:color w:val="000000" w:themeColor="text1"/>
          <w:sz w:val="24"/>
          <w:szCs w:val="24"/>
        </w:rPr>
      </w:pPr>
      <w:r w:rsidRPr="00514F1A">
        <w:rPr>
          <w:rFonts w:ascii="Times New Roman" w:eastAsia="Times New Roman" w:hAnsi="Times New Roman" w:cs="Times New Roman"/>
          <w:color w:val="000000" w:themeColor="text1"/>
          <w:sz w:val="24"/>
          <w:szCs w:val="24"/>
        </w:rPr>
        <w:t>The per-residue energy decomposition analysis of seven protein–ligand complexes reveals that the ligands contribute the most significant stabilizing energies across all systems. In the AKT1–</w:t>
      </w:r>
      <w:proofErr w:type="spellStart"/>
      <w:r w:rsidRPr="00514F1A">
        <w:rPr>
          <w:rFonts w:ascii="Times New Roman" w:eastAsia="Times New Roman" w:hAnsi="Times New Roman" w:cs="Times New Roman"/>
          <w:color w:val="000000" w:themeColor="text1"/>
          <w:sz w:val="24"/>
          <w:szCs w:val="24"/>
        </w:rPr>
        <w:t>isoquercetin</w:t>
      </w:r>
      <w:proofErr w:type="spellEnd"/>
      <w:r w:rsidRPr="00514F1A">
        <w:rPr>
          <w:rFonts w:ascii="Times New Roman" w:eastAsia="Times New Roman" w:hAnsi="Times New Roman" w:cs="Times New Roman"/>
          <w:color w:val="000000" w:themeColor="text1"/>
          <w:sz w:val="24"/>
          <w:szCs w:val="24"/>
        </w:rPr>
        <w:t xml:space="preserve"> complex (I), key contributions arise from ALA:113 and PHE:438 (approximately −3.5 and −4.2 kcal/mol, respectively), while the ligand BLIG:544 shows a substantial stabilization of around −15 kcal/mol. For the EGFR–quercetin (II) and EGFR–rutin (III) complexes, residues such as ASN:1169, ASN:1171, and ASN:1172 contribute moderately (~−3 kcal/mol each), with the ligand BLIG:1211 contributing −9 and −11 kcal/mol, respectively. The ESR–rutin complex (IV) involves several residues (LEU:78, ASP:84, PHE:144, ALA:159) contributing −1 to −2 kcal/mol, while BLIG:596 shows a strong stabilizing energy of about −20 kcal/mol. In the SRC–ellagic acid complex (V), residues like GLN:254, TRP:263, and GLU:312 provide −2.5 to −3 kcal/mol each, with BLIG:537 contributing approximately −11 kcal/mol. The SRC–rutin complex (VI) shows extreme values from ARG:263 (+250 kcal/mol) and GLU:312 (−250 kcal/mol), likely reflecting ionic interactions or computational artifacts, while BLIG:537 maintains a strong stabilizing effect (−20 kcal/mol). Lastly, in the TP53–rutin complex (VII), residues such as ASP:281, LEU:289, and GLY:279 contribute moderately (−2 to −3 kcal/mol), and the ligand BLIG:573 provides ~−15 kcal/mol stabilization. These results confirm that ligand binding is the primary driver of complex stability, with certain residues enhancing the interaction synergistically.</w:t>
      </w:r>
    </w:p>
    <w:p w14:paraId="0158DA46" w14:textId="77777777" w:rsidR="00834887" w:rsidRPr="00514F1A" w:rsidRDefault="00834887" w:rsidP="00514F1A">
      <w:pPr>
        <w:spacing w:after="0" w:line="240" w:lineRule="auto"/>
        <w:jc w:val="both"/>
        <w:rPr>
          <w:rFonts w:ascii="Times New Roman" w:eastAsia="Times New Roman" w:hAnsi="Times New Roman" w:cs="Times New Roman"/>
          <w:color w:val="000000" w:themeColor="text1"/>
          <w:sz w:val="24"/>
          <w:szCs w:val="24"/>
        </w:rPr>
      </w:pPr>
    </w:p>
    <w:p w14:paraId="48BA61DB" w14:textId="77777777" w:rsidR="00834887" w:rsidRPr="00514F1A" w:rsidRDefault="00834887" w:rsidP="00514F1A">
      <w:pPr>
        <w:spacing w:after="0" w:line="240" w:lineRule="auto"/>
        <w:jc w:val="both"/>
        <w:rPr>
          <w:rFonts w:ascii="Times New Roman" w:eastAsia="Times New Roman" w:hAnsi="Times New Roman" w:cs="Times New Roman"/>
          <w:color w:val="000000" w:themeColor="text1"/>
          <w:sz w:val="24"/>
          <w:szCs w:val="24"/>
        </w:rPr>
      </w:pPr>
    </w:p>
    <w:p w14:paraId="3148F1C4" w14:textId="77777777" w:rsidR="00834887" w:rsidRPr="00514F1A" w:rsidRDefault="00834887" w:rsidP="00514F1A">
      <w:pPr>
        <w:spacing w:after="0" w:line="240" w:lineRule="auto"/>
        <w:jc w:val="both"/>
        <w:rPr>
          <w:rFonts w:ascii="Times New Roman" w:eastAsia="Times New Roman" w:hAnsi="Times New Roman" w:cs="Times New Roman"/>
          <w:color w:val="000000" w:themeColor="text1"/>
          <w:sz w:val="24"/>
          <w:szCs w:val="24"/>
        </w:rPr>
      </w:pPr>
      <w:r w:rsidRPr="00514F1A">
        <w:rPr>
          <w:rFonts w:ascii="Times New Roman" w:eastAsia="Times New Roman" w:hAnsi="Times New Roman" w:cs="Times New Roman"/>
          <w:noProof/>
          <w:color w:val="000000" w:themeColor="text1"/>
          <w:sz w:val="24"/>
          <w:szCs w:val="24"/>
        </w:rPr>
        <w:drawing>
          <wp:inline distT="0" distB="0" distL="0" distR="0" wp14:anchorId="37402C1F" wp14:editId="5C947FC3">
            <wp:extent cx="6067697" cy="4456221"/>
            <wp:effectExtent l="0" t="0" r="0" b="1905"/>
            <wp:docPr id="33057391" name="Picture 20" descr="A collage of multiple graph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57391" name="Picture 20" descr="A collage of multiple graphs&#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75870" cy="4462224"/>
                    </a:xfrm>
                    <a:prstGeom prst="rect">
                      <a:avLst/>
                    </a:prstGeom>
                    <a:noFill/>
                  </pic:spPr>
                </pic:pic>
              </a:graphicData>
            </a:graphic>
          </wp:inline>
        </w:drawing>
      </w:r>
    </w:p>
    <w:p w14:paraId="566FBE06" w14:textId="77777777" w:rsidR="00834887" w:rsidRPr="00514F1A" w:rsidRDefault="00834887" w:rsidP="00514F1A">
      <w:pPr>
        <w:spacing w:after="0" w:line="240" w:lineRule="auto"/>
        <w:jc w:val="both"/>
        <w:rPr>
          <w:rFonts w:ascii="Times New Roman" w:eastAsia="Times New Roman" w:hAnsi="Times New Roman" w:cs="Times New Roman"/>
          <w:color w:val="000000" w:themeColor="text1"/>
          <w:sz w:val="24"/>
          <w:szCs w:val="24"/>
        </w:rPr>
      </w:pPr>
    </w:p>
    <w:p w14:paraId="17D9D382" w14:textId="77777777" w:rsidR="00834887" w:rsidRPr="00514F1A" w:rsidRDefault="00834887" w:rsidP="00514F1A">
      <w:pPr>
        <w:spacing w:after="0" w:line="240" w:lineRule="auto"/>
        <w:rPr>
          <w:rFonts w:ascii="Times New Roman" w:eastAsia="Times New Roman" w:hAnsi="Times New Roman" w:cs="Times New Roman"/>
          <w:color w:val="000000" w:themeColor="text1"/>
          <w:sz w:val="24"/>
          <w:szCs w:val="24"/>
        </w:rPr>
      </w:pPr>
    </w:p>
    <w:p w14:paraId="1A93E836" w14:textId="7A89C2B0" w:rsidR="00834887" w:rsidRPr="00514F1A" w:rsidRDefault="00834887" w:rsidP="00514F1A">
      <w:pPr>
        <w:spacing w:after="0" w:line="240" w:lineRule="auto"/>
        <w:rPr>
          <w:rFonts w:ascii="Times New Roman" w:eastAsia="Times New Roman" w:hAnsi="Times New Roman" w:cs="Times New Roman"/>
          <w:b/>
          <w:bCs/>
          <w:sz w:val="24"/>
          <w:szCs w:val="24"/>
        </w:rPr>
      </w:pPr>
      <w:r w:rsidRPr="00514F1A">
        <w:rPr>
          <w:rFonts w:ascii="Times New Roman" w:hAnsi="Times New Roman" w:cs="Times New Roman"/>
          <w:b/>
          <w:bCs/>
          <w:sz w:val="24"/>
          <w:szCs w:val="24"/>
        </w:rPr>
        <w:t xml:space="preserve">Figure S7 </w:t>
      </w:r>
      <w:r w:rsidRPr="00514F1A">
        <w:rPr>
          <w:rFonts w:ascii="Times New Roman" w:eastAsia="Times New Roman" w:hAnsi="Times New Roman" w:cs="Times New Roman"/>
          <w:color w:val="000000" w:themeColor="text1"/>
          <w:sz w:val="24"/>
          <w:szCs w:val="24"/>
        </w:rPr>
        <w:t xml:space="preserve">Bar plot representing total decomposition energy per residue from the </w:t>
      </w:r>
      <w:proofErr w:type="spellStart"/>
      <w:r w:rsidRPr="00514F1A">
        <w:rPr>
          <w:rFonts w:ascii="Times New Roman" w:eastAsia="Times New Roman" w:hAnsi="Times New Roman" w:cs="Times New Roman"/>
          <w:color w:val="000000" w:themeColor="text1"/>
          <w:sz w:val="24"/>
          <w:szCs w:val="24"/>
        </w:rPr>
        <w:t>gmx_MMPBSA</w:t>
      </w:r>
      <w:proofErr w:type="spellEnd"/>
      <w:r w:rsidRPr="00514F1A">
        <w:rPr>
          <w:rFonts w:ascii="Times New Roman" w:eastAsia="Times New Roman" w:hAnsi="Times New Roman" w:cs="Times New Roman"/>
          <w:color w:val="000000" w:themeColor="text1"/>
          <w:sz w:val="24"/>
          <w:szCs w:val="24"/>
        </w:rPr>
        <w:t xml:space="preserve"> TDC analysis. Energetically favorable residues are highlighted for their role in complex stabilization. </w:t>
      </w:r>
      <w:r w:rsidRPr="00514F1A">
        <w:rPr>
          <w:rFonts w:ascii="Times New Roman" w:eastAsia="Times New Roman" w:hAnsi="Times New Roman" w:cs="Times New Roman"/>
          <w:b/>
          <w:bCs/>
          <w:sz w:val="24"/>
          <w:szCs w:val="24"/>
        </w:rPr>
        <w:t>(I) AKT1-isoquercetin (II) EGFR-quercetin (III) EGFR-rutin (IV) ESR-rutin (V) SRC-ellagic acid (VI) SRC-rutin (VII) TP53-rutin</w:t>
      </w:r>
    </w:p>
    <w:p w14:paraId="60805192" w14:textId="77777777" w:rsidR="00834887" w:rsidRPr="00514F1A" w:rsidRDefault="00834887" w:rsidP="00514F1A">
      <w:pPr>
        <w:spacing w:after="0" w:line="240" w:lineRule="auto"/>
        <w:jc w:val="both"/>
        <w:rPr>
          <w:rFonts w:ascii="Times New Roman" w:eastAsia="Times New Roman" w:hAnsi="Times New Roman" w:cs="Times New Roman"/>
          <w:b/>
          <w:bCs/>
          <w:sz w:val="24"/>
          <w:szCs w:val="24"/>
        </w:rPr>
      </w:pPr>
    </w:p>
    <w:p w14:paraId="6C573085" w14:textId="64EA3D33" w:rsidR="00834887" w:rsidRPr="00514F1A" w:rsidRDefault="00514F1A" w:rsidP="00514F1A">
      <w:pPr>
        <w:spacing w:after="0" w:line="240" w:lineRule="auto"/>
        <w:outlineLvl w:val="2"/>
        <w:rPr>
          <w:rFonts w:ascii="Times New Roman" w:eastAsia="Times New Roman" w:hAnsi="Times New Roman" w:cs="Times New Roman"/>
          <w:b/>
          <w:bCs/>
          <w:sz w:val="24"/>
          <w:szCs w:val="24"/>
        </w:rPr>
      </w:pPr>
      <w:r w:rsidRPr="00514F1A">
        <w:rPr>
          <w:rFonts w:ascii="Times New Roman" w:eastAsia="Times New Roman" w:hAnsi="Times New Roman" w:cs="Times New Roman"/>
          <w:b/>
          <w:bCs/>
          <w:sz w:val="24"/>
          <w:szCs w:val="24"/>
        </w:rPr>
        <w:t>5.6</w:t>
      </w:r>
      <w:r w:rsidR="00834887" w:rsidRPr="00514F1A">
        <w:rPr>
          <w:rFonts w:ascii="Times New Roman" w:eastAsia="Times New Roman" w:hAnsi="Times New Roman" w:cs="Times New Roman"/>
          <w:b/>
          <w:bCs/>
          <w:sz w:val="24"/>
          <w:szCs w:val="24"/>
        </w:rPr>
        <w:t xml:space="preserve"> Directional Motions from Eigenvector Components</w:t>
      </w:r>
    </w:p>
    <w:p w14:paraId="67ED5EF7" w14:textId="77777777" w:rsidR="00834887" w:rsidRPr="00514F1A" w:rsidRDefault="00834887" w:rsidP="00514F1A">
      <w:pPr>
        <w:spacing w:after="0" w:line="240" w:lineRule="auto"/>
        <w:jc w:val="both"/>
        <w:rPr>
          <w:rFonts w:ascii="Times New Roman" w:eastAsia="Times New Roman" w:hAnsi="Times New Roman" w:cs="Times New Roman"/>
          <w:sz w:val="24"/>
          <w:szCs w:val="24"/>
        </w:rPr>
      </w:pPr>
      <w:r w:rsidRPr="00514F1A">
        <w:rPr>
          <w:rFonts w:ascii="Times New Roman" w:eastAsia="Times New Roman" w:hAnsi="Times New Roman" w:cs="Times New Roman"/>
          <w:sz w:val="24"/>
          <w:szCs w:val="24"/>
        </w:rPr>
        <w:t>The eigenvector component analysis (vec1–vec3) reveals the collective atomic motions within each protein–ligand complex. In the AKT1–</w:t>
      </w:r>
      <w:proofErr w:type="spellStart"/>
      <w:r w:rsidRPr="00514F1A">
        <w:rPr>
          <w:rFonts w:ascii="Times New Roman" w:eastAsia="Times New Roman" w:hAnsi="Times New Roman" w:cs="Times New Roman"/>
          <w:sz w:val="24"/>
          <w:szCs w:val="24"/>
        </w:rPr>
        <w:t>isoquercetin</w:t>
      </w:r>
      <w:proofErr w:type="spellEnd"/>
      <w:r w:rsidRPr="00514F1A">
        <w:rPr>
          <w:rFonts w:ascii="Times New Roman" w:eastAsia="Times New Roman" w:hAnsi="Times New Roman" w:cs="Times New Roman"/>
          <w:sz w:val="24"/>
          <w:szCs w:val="24"/>
        </w:rPr>
        <w:t xml:space="preserve"> complex (I), the vectors fluctuate moderately within the range of −0.15 to +0.15, indicating stable internal dynamics. The EGFR complexes (II) show distinct differences, where quercetin-bound EGFR exhibits smoother and lower-amplitude oscillations (within ±0.1), whereas rutin binding introduces greater variability with fluctuations reaching ±0.2, suggesting increased flexibility. In the ESR–rutin complex (III), the eigenvector components remain relatively uniform, with amplitudes below ±0.1, implying limited structural deviations. The SRC–ellagic acid and SRC–rutin complexes (IV) show clear contrast; ellagic acid induces moderate motion (~±0.15), while rutin significantly enhances flexibility, with vec1 and vec2 peaking up to ±0.25. Finally, the TP53–rutin complex (V) exhibits the most stable behavior, with all vector components confined within ±0.05, suggesting minimal conformational change. Collectively, rutin-bound systems such as EGFR–rutin and SRC–rutin demonstrate pronounced internal flexibility, while TP53–rutin maintains a highly stable structure throughout the simulation.</w:t>
      </w:r>
    </w:p>
    <w:p w14:paraId="1861254A" w14:textId="77777777" w:rsidR="00834887" w:rsidRPr="00514F1A" w:rsidRDefault="00834887" w:rsidP="00514F1A">
      <w:pPr>
        <w:spacing w:after="0" w:line="240" w:lineRule="auto"/>
        <w:rPr>
          <w:rFonts w:ascii="Times New Roman" w:eastAsia="Times New Roman" w:hAnsi="Times New Roman" w:cs="Times New Roman"/>
          <w:sz w:val="24"/>
          <w:szCs w:val="24"/>
        </w:rPr>
      </w:pPr>
    </w:p>
    <w:p w14:paraId="61E04F83" w14:textId="77777777" w:rsidR="00834887" w:rsidRPr="00514F1A" w:rsidRDefault="00834887" w:rsidP="00514F1A">
      <w:pPr>
        <w:spacing w:after="0" w:line="240" w:lineRule="auto"/>
        <w:rPr>
          <w:rFonts w:ascii="Times New Roman" w:eastAsia="Times New Roman" w:hAnsi="Times New Roman" w:cs="Times New Roman"/>
          <w:sz w:val="24"/>
          <w:szCs w:val="24"/>
        </w:rPr>
      </w:pPr>
    </w:p>
    <w:p w14:paraId="7557474D" w14:textId="77777777" w:rsidR="00834887" w:rsidRPr="00514F1A" w:rsidRDefault="00834887" w:rsidP="00514F1A">
      <w:pPr>
        <w:spacing w:after="0" w:line="240" w:lineRule="auto"/>
        <w:rPr>
          <w:rFonts w:ascii="Times New Roman" w:eastAsia="Times New Roman" w:hAnsi="Times New Roman" w:cs="Times New Roman"/>
          <w:sz w:val="24"/>
          <w:szCs w:val="24"/>
        </w:rPr>
      </w:pPr>
      <w:r w:rsidRPr="00514F1A">
        <w:rPr>
          <w:rFonts w:ascii="Times New Roman" w:eastAsia="Times New Roman" w:hAnsi="Times New Roman" w:cs="Times New Roman"/>
          <w:noProof/>
          <w:sz w:val="24"/>
          <w:szCs w:val="24"/>
        </w:rPr>
        <w:drawing>
          <wp:inline distT="0" distB="0" distL="0" distR="0" wp14:anchorId="23A7BB81" wp14:editId="3227F038">
            <wp:extent cx="6390459" cy="3342289"/>
            <wp:effectExtent l="0" t="0" r="0" b="0"/>
            <wp:docPr id="434971428" name="Picture 14" descr="A group of graphs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971428" name="Picture 14" descr="A group of graphs showing different colors&#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407418" cy="3351159"/>
                    </a:xfrm>
                    <a:prstGeom prst="rect">
                      <a:avLst/>
                    </a:prstGeom>
                    <a:noFill/>
                  </pic:spPr>
                </pic:pic>
              </a:graphicData>
            </a:graphic>
          </wp:inline>
        </w:drawing>
      </w:r>
    </w:p>
    <w:p w14:paraId="305758B3" w14:textId="77777777" w:rsidR="00834887" w:rsidRPr="00514F1A" w:rsidRDefault="00834887" w:rsidP="00514F1A">
      <w:pPr>
        <w:spacing w:after="0" w:line="240" w:lineRule="auto"/>
        <w:rPr>
          <w:rFonts w:ascii="Times New Roman" w:eastAsia="Times New Roman" w:hAnsi="Times New Roman" w:cs="Times New Roman"/>
          <w:sz w:val="24"/>
          <w:szCs w:val="24"/>
        </w:rPr>
      </w:pPr>
    </w:p>
    <w:p w14:paraId="21F28B18" w14:textId="234766C4" w:rsidR="00834887" w:rsidRPr="00514F1A" w:rsidRDefault="00834887" w:rsidP="00514F1A">
      <w:pPr>
        <w:spacing w:after="0" w:line="240" w:lineRule="auto"/>
        <w:rPr>
          <w:rFonts w:ascii="Times New Roman" w:eastAsia="Times New Roman" w:hAnsi="Times New Roman" w:cs="Times New Roman"/>
          <w:sz w:val="24"/>
          <w:szCs w:val="24"/>
        </w:rPr>
      </w:pPr>
      <w:r w:rsidRPr="00514F1A">
        <w:rPr>
          <w:rFonts w:ascii="Times New Roman" w:hAnsi="Times New Roman" w:cs="Times New Roman"/>
          <w:b/>
          <w:bCs/>
          <w:sz w:val="24"/>
          <w:szCs w:val="24"/>
        </w:rPr>
        <w:t>Figure S8</w:t>
      </w:r>
      <w:r w:rsidRPr="00514F1A">
        <w:rPr>
          <w:rFonts w:ascii="Times New Roman" w:eastAsia="Times New Roman" w:hAnsi="Times New Roman" w:cs="Times New Roman"/>
          <w:sz w:val="24"/>
          <w:szCs w:val="24"/>
        </w:rPr>
        <w:t>: Eigenvector Components</w:t>
      </w:r>
    </w:p>
    <w:p w14:paraId="2A48AF71" w14:textId="67514998" w:rsidR="00834887" w:rsidRPr="00514F1A" w:rsidRDefault="00514F1A" w:rsidP="00514F1A">
      <w:pPr>
        <w:spacing w:after="0" w:line="240" w:lineRule="auto"/>
        <w:outlineLvl w:val="2"/>
        <w:rPr>
          <w:rFonts w:ascii="Times New Roman" w:eastAsia="Times New Roman" w:hAnsi="Times New Roman" w:cs="Times New Roman"/>
          <w:b/>
          <w:bCs/>
          <w:sz w:val="24"/>
          <w:szCs w:val="24"/>
        </w:rPr>
      </w:pPr>
      <w:r w:rsidRPr="00514F1A">
        <w:rPr>
          <w:rFonts w:ascii="Times New Roman" w:eastAsia="Times New Roman" w:hAnsi="Times New Roman" w:cs="Times New Roman"/>
          <w:sz w:val="24"/>
          <w:szCs w:val="24"/>
        </w:rPr>
        <w:t>5.7</w:t>
      </w:r>
      <w:r w:rsidR="00834887" w:rsidRPr="00514F1A">
        <w:rPr>
          <w:rFonts w:ascii="Times New Roman" w:eastAsia="Times New Roman" w:hAnsi="Times New Roman" w:cs="Times New Roman"/>
          <w:b/>
          <w:bCs/>
          <w:sz w:val="24"/>
          <w:szCs w:val="24"/>
        </w:rPr>
        <w:t xml:space="preserve"> RMSF Along Principal Components</w:t>
      </w:r>
    </w:p>
    <w:p w14:paraId="417F3C7F" w14:textId="77777777" w:rsidR="00834887" w:rsidRPr="00514F1A" w:rsidRDefault="00834887" w:rsidP="00514F1A">
      <w:pPr>
        <w:spacing w:after="0" w:line="240" w:lineRule="auto"/>
        <w:jc w:val="both"/>
        <w:rPr>
          <w:rFonts w:ascii="Times New Roman" w:eastAsia="Times New Roman" w:hAnsi="Times New Roman" w:cs="Times New Roman"/>
          <w:sz w:val="24"/>
          <w:szCs w:val="24"/>
        </w:rPr>
      </w:pPr>
      <w:r w:rsidRPr="00514F1A">
        <w:rPr>
          <w:rFonts w:ascii="Times New Roman" w:eastAsia="Times New Roman" w:hAnsi="Times New Roman" w:cs="Times New Roman"/>
          <w:sz w:val="24"/>
          <w:szCs w:val="24"/>
        </w:rPr>
        <w:t>The RMSF analysis along the first three principal components (vec1–vec3) reveals variations in residue-level flexibility across the protein–ligand complexes. In the AKT1–</w:t>
      </w:r>
      <w:proofErr w:type="spellStart"/>
      <w:r w:rsidRPr="00514F1A">
        <w:rPr>
          <w:rFonts w:ascii="Times New Roman" w:eastAsia="Times New Roman" w:hAnsi="Times New Roman" w:cs="Times New Roman"/>
          <w:sz w:val="24"/>
          <w:szCs w:val="24"/>
        </w:rPr>
        <w:t>isoquercetin</w:t>
      </w:r>
      <w:proofErr w:type="spellEnd"/>
      <w:r w:rsidRPr="00514F1A">
        <w:rPr>
          <w:rFonts w:ascii="Times New Roman" w:eastAsia="Times New Roman" w:hAnsi="Times New Roman" w:cs="Times New Roman"/>
          <w:sz w:val="24"/>
          <w:szCs w:val="24"/>
        </w:rPr>
        <w:t xml:space="preserve"> complex, moderate fluctuations are observed, with vec2 peaking around 0.15 nm, suggesting localized flexibility in specific regions. The EGFR complexes show a clear difference between ligands, where quercetin induces minimal fluctuations (~0.1 nm), while rutin leads to higher mobility with RMSF values exceeding 0.2 nm, particularly in vec1 and vec2. The ESR–rutin complex exhibits uniform and restrained fluctuations, all below 0.15 nm, indicating a stable and well-conserved structure. In the SRC complexes, ellagic acid results in modest fluctuations (0.1–0.15 nm), whereas rutin binding enhances flexibility, with vec1 and vec2 peaks rising above 0.2 nm. The TP53–rutin complex displays a relatively dynamic profile, with vec1 peaking near 0.18 nm and other components showing consistent moderate fluctuations around 0.1 nm. Overall, rutin-bound systems such as EGFR–rutin and SRC–rutin exhibit higher atomic flexibility, suggesting increased conformational adaptability and potentially more dynamic protein–ligand interactions.</w:t>
      </w:r>
    </w:p>
    <w:p w14:paraId="4940A1B0" w14:textId="77777777" w:rsidR="00834887" w:rsidRPr="00514F1A" w:rsidRDefault="00834887" w:rsidP="00514F1A">
      <w:pPr>
        <w:spacing w:after="0" w:line="240" w:lineRule="auto"/>
        <w:jc w:val="both"/>
        <w:rPr>
          <w:rFonts w:ascii="Times New Roman" w:eastAsia="Times New Roman" w:hAnsi="Times New Roman" w:cs="Times New Roman"/>
          <w:sz w:val="24"/>
          <w:szCs w:val="24"/>
        </w:rPr>
      </w:pPr>
    </w:p>
    <w:p w14:paraId="4F87B6B3" w14:textId="77777777" w:rsidR="00834887" w:rsidRPr="00514F1A" w:rsidRDefault="00834887" w:rsidP="00514F1A">
      <w:pPr>
        <w:spacing w:after="0" w:line="240" w:lineRule="auto"/>
        <w:jc w:val="both"/>
        <w:rPr>
          <w:rFonts w:ascii="Times New Roman" w:eastAsia="Times New Roman" w:hAnsi="Times New Roman" w:cs="Times New Roman"/>
          <w:sz w:val="24"/>
          <w:szCs w:val="24"/>
        </w:rPr>
      </w:pPr>
    </w:p>
    <w:p w14:paraId="2478E219" w14:textId="77777777" w:rsidR="00834887" w:rsidRPr="00514F1A" w:rsidRDefault="00834887" w:rsidP="00514F1A">
      <w:pPr>
        <w:spacing w:after="0" w:line="240" w:lineRule="auto"/>
        <w:jc w:val="both"/>
        <w:rPr>
          <w:rFonts w:ascii="Times New Roman" w:eastAsia="Times New Roman" w:hAnsi="Times New Roman" w:cs="Times New Roman"/>
          <w:color w:val="000000" w:themeColor="text1"/>
          <w:sz w:val="24"/>
          <w:szCs w:val="24"/>
        </w:rPr>
      </w:pPr>
      <w:r w:rsidRPr="00514F1A">
        <w:rPr>
          <w:rFonts w:ascii="Times New Roman" w:eastAsia="Times New Roman" w:hAnsi="Times New Roman" w:cs="Times New Roman"/>
          <w:noProof/>
          <w:color w:val="000000" w:themeColor="text1"/>
          <w:sz w:val="24"/>
          <w:szCs w:val="24"/>
        </w:rPr>
        <w:drawing>
          <wp:inline distT="0" distB="0" distL="0" distR="0" wp14:anchorId="78E1C1A0" wp14:editId="032999AD">
            <wp:extent cx="5951583" cy="3050750"/>
            <wp:effectExtent l="0" t="0" r="0" b="0"/>
            <wp:docPr id="159313466" name="Picture 17" descr="A group of graphs showing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13466" name="Picture 17" descr="A group of graphs showing different colored lines&#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67878" cy="3059103"/>
                    </a:xfrm>
                    <a:prstGeom prst="rect">
                      <a:avLst/>
                    </a:prstGeom>
                    <a:noFill/>
                  </pic:spPr>
                </pic:pic>
              </a:graphicData>
            </a:graphic>
          </wp:inline>
        </w:drawing>
      </w:r>
    </w:p>
    <w:p w14:paraId="635D9FDD" w14:textId="3F5C33B8" w:rsidR="00514F1A" w:rsidRPr="00514F1A" w:rsidRDefault="00834887" w:rsidP="00514F1A">
      <w:pPr>
        <w:spacing w:after="0" w:line="240" w:lineRule="auto"/>
        <w:jc w:val="both"/>
        <w:rPr>
          <w:rFonts w:ascii="Times New Roman" w:eastAsia="Times New Roman" w:hAnsi="Times New Roman" w:cs="Times New Roman"/>
          <w:color w:val="000000" w:themeColor="text1"/>
          <w:sz w:val="24"/>
          <w:szCs w:val="24"/>
        </w:rPr>
      </w:pPr>
      <w:bookmarkStart w:id="4" w:name="_Hlk202122082"/>
      <w:r w:rsidRPr="00514F1A">
        <w:rPr>
          <w:rFonts w:ascii="Times New Roman" w:hAnsi="Times New Roman" w:cs="Times New Roman"/>
          <w:b/>
          <w:bCs/>
          <w:sz w:val="24"/>
          <w:szCs w:val="24"/>
        </w:rPr>
        <w:t>Figure S9</w:t>
      </w:r>
      <w:bookmarkEnd w:id="4"/>
      <w:r w:rsidRPr="00514F1A">
        <w:rPr>
          <w:rFonts w:ascii="Times New Roman" w:eastAsia="Times New Roman" w:hAnsi="Times New Roman" w:cs="Times New Roman"/>
          <w:color w:val="000000" w:themeColor="text1"/>
          <w:sz w:val="24"/>
          <w:szCs w:val="24"/>
        </w:rPr>
        <w:t>: RMSF of Principal Components</w:t>
      </w:r>
    </w:p>
    <w:p w14:paraId="19CAC1CC" w14:textId="516F53C1" w:rsidR="00514F1A" w:rsidRPr="00514F1A" w:rsidRDefault="00514F1A" w:rsidP="00514F1A">
      <w:pPr>
        <w:spacing w:after="0" w:line="240" w:lineRule="auto"/>
        <w:rPr>
          <w:rFonts w:ascii="Times New Roman" w:eastAsia="Times New Roman" w:hAnsi="Times New Roman" w:cs="Times New Roman"/>
          <w:b/>
          <w:bCs/>
          <w:sz w:val="24"/>
          <w:szCs w:val="24"/>
        </w:rPr>
      </w:pPr>
      <w:r w:rsidRPr="00514F1A">
        <w:rPr>
          <w:rFonts w:ascii="Times New Roman" w:eastAsia="Times New Roman" w:hAnsi="Times New Roman" w:cs="Times New Roman"/>
          <w:b/>
          <w:bCs/>
          <w:sz w:val="24"/>
          <w:szCs w:val="24"/>
        </w:rPr>
        <w:t>5.8 Dynamic Cross-Correlation Matrix (DCCM)</w:t>
      </w:r>
    </w:p>
    <w:p w14:paraId="127960CA" w14:textId="77777777" w:rsidR="00514F1A" w:rsidRPr="00514F1A" w:rsidRDefault="00514F1A" w:rsidP="00514F1A">
      <w:pPr>
        <w:spacing w:after="0" w:line="240" w:lineRule="auto"/>
        <w:jc w:val="both"/>
        <w:rPr>
          <w:rFonts w:ascii="Times New Roman" w:eastAsia="Times New Roman" w:hAnsi="Times New Roman" w:cs="Times New Roman"/>
          <w:sz w:val="24"/>
          <w:szCs w:val="24"/>
        </w:rPr>
      </w:pPr>
      <w:r w:rsidRPr="00514F1A">
        <w:rPr>
          <w:rFonts w:ascii="Times New Roman" w:eastAsia="Times New Roman" w:hAnsi="Times New Roman" w:cs="Times New Roman"/>
          <w:sz w:val="24"/>
          <w:szCs w:val="24"/>
        </w:rPr>
        <w:t>The Dynamic Cross-Correlation Matrix (DCCM) plots shown in Figure 11 provide a residue-level view of coordinated atomic motions in the protein–ligand complexes during the simulation. Positive correlations (red) indicate residues moving in the same direction, while negative correlations (blue) reflect anti-correlated motions. In panel I, the AKT1–</w:t>
      </w:r>
      <w:proofErr w:type="spellStart"/>
      <w:r w:rsidRPr="00514F1A">
        <w:rPr>
          <w:rFonts w:ascii="Times New Roman" w:eastAsia="Times New Roman" w:hAnsi="Times New Roman" w:cs="Times New Roman"/>
          <w:sz w:val="24"/>
          <w:szCs w:val="24"/>
        </w:rPr>
        <w:t>isoquercetin</w:t>
      </w:r>
      <w:proofErr w:type="spellEnd"/>
      <w:r w:rsidRPr="00514F1A">
        <w:rPr>
          <w:rFonts w:ascii="Times New Roman" w:eastAsia="Times New Roman" w:hAnsi="Times New Roman" w:cs="Times New Roman"/>
          <w:sz w:val="24"/>
          <w:szCs w:val="24"/>
        </w:rPr>
        <w:t xml:space="preserve"> complex exhibits a balanced distribution of correlated and anti-correlated motions, with strong positive correlations between central and terminal residue blocks, suggesting cooperative structural dynamics. Panel II shows the EGFR–quercetin complex with dense red zones and diagonal alignment, indicating well-coordinated intradomain movements. In contrast, panel III, representing EGFR–rutin, demonstrates a more fragmented correlation map, with alternating red and blue blocks that imply complex and diverse domain-level interactions likely induced by rutin. Panel IV, the ESR–rutin complex, shows broad and evenly distributed correlations, dominated by red bands, reflecting stable and harmonized structural behavior. Panel V depicts the SRC–ellagic acid complex with moderately dense diagonal red zones and peripheral blue patterns, indicative of localized domain coordination and some opposing motions. In panel VI, the SRC–rutin complex shows more extensive anti-correlated regions than ellagic acid, suggesting increased dynamic rearrangement and interdomain flexibility upon rutin binding. Lastly, panel VII of the TP53–rutin complex displays a highly complex DCCM with numerous strong anti-correlated (blue) and positively correlated (red) regions, especially across distant residue pairs, highlighting extensive long-range communication and structural adaptability.</w:t>
      </w:r>
    </w:p>
    <w:p w14:paraId="5582E944" w14:textId="77777777" w:rsidR="00514F1A" w:rsidRPr="00514F1A" w:rsidRDefault="00514F1A" w:rsidP="00514F1A">
      <w:pPr>
        <w:spacing w:after="0" w:line="240" w:lineRule="auto"/>
        <w:rPr>
          <w:rFonts w:ascii="Times New Roman" w:eastAsia="Times New Roman" w:hAnsi="Times New Roman" w:cs="Times New Roman"/>
          <w:sz w:val="24"/>
          <w:szCs w:val="24"/>
        </w:rPr>
      </w:pPr>
      <w:r w:rsidRPr="00514F1A">
        <w:rPr>
          <w:rFonts w:ascii="Times New Roman" w:eastAsia="Times New Roman" w:hAnsi="Times New Roman" w:cs="Times New Roman"/>
          <w:noProof/>
          <w:sz w:val="24"/>
          <w:szCs w:val="24"/>
        </w:rPr>
        <w:drawing>
          <wp:inline distT="0" distB="0" distL="0" distR="0" wp14:anchorId="759BE5F8" wp14:editId="1108044A">
            <wp:extent cx="5816328" cy="4675463"/>
            <wp:effectExtent l="0" t="0" r="0" b="0"/>
            <wp:docPr id="330786469" name="Picture 18" descr="A collage of red and blue gri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786469" name="Picture 18" descr="A collage of red and blue grids&#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23728" cy="4681412"/>
                    </a:xfrm>
                    <a:prstGeom prst="rect">
                      <a:avLst/>
                    </a:prstGeom>
                    <a:noFill/>
                  </pic:spPr>
                </pic:pic>
              </a:graphicData>
            </a:graphic>
          </wp:inline>
        </w:drawing>
      </w:r>
    </w:p>
    <w:p w14:paraId="1A3BC546" w14:textId="77777777" w:rsidR="00514F1A" w:rsidRPr="00514F1A" w:rsidRDefault="00514F1A" w:rsidP="00514F1A">
      <w:pPr>
        <w:spacing w:after="0" w:line="240" w:lineRule="auto"/>
        <w:rPr>
          <w:rFonts w:ascii="Times New Roman" w:eastAsia="Times New Roman" w:hAnsi="Times New Roman" w:cs="Times New Roman"/>
          <w:sz w:val="24"/>
          <w:szCs w:val="24"/>
        </w:rPr>
      </w:pPr>
    </w:p>
    <w:p w14:paraId="020BD3AB" w14:textId="388C260E" w:rsidR="00514F1A" w:rsidRPr="00514F1A" w:rsidRDefault="00514F1A" w:rsidP="00514F1A">
      <w:pPr>
        <w:spacing w:after="0" w:line="240" w:lineRule="auto"/>
        <w:rPr>
          <w:rFonts w:ascii="Times New Roman" w:eastAsia="Times New Roman" w:hAnsi="Times New Roman" w:cs="Times New Roman"/>
          <w:b/>
          <w:bCs/>
          <w:sz w:val="24"/>
          <w:szCs w:val="24"/>
        </w:rPr>
      </w:pPr>
      <w:r w:rsidRPr="00514F1A">
        <w:rPr>
          <w:rFonts w:ascii="Times New Roman" w:eastAsia="Times New Roman" w:hAnsi="Times New Roman" w:cs="Times New Roman"/>
          <w:b/>
          <w:bCs/>
          <w:color w:val="000000" w:themeColor="text1"/>
          <w:sz w:val="24"/>
          <w:szCs w:val="24"/>
        </w:rPr>
        <w:t>Figure S10:</w:t>
      </w:r>
      <w:r w:rsidRPr="00514F1A">
        <w:rPr>
          <w:rFonts w:ascii="Times New Roman" w:eastAsia="Times New Roman" w:hAnsi="Times New Roman" w:cs="Times New Roman"/>
          <w:color w:val="000000" w:themeColor="text1"/>
          <w:sz w:val="24"/>
          <w:szCs w:val="24"/>
        </w:rPr>
        <w:t xml:space="preserve"> </w:t>
      </w:r>
      <w:r w:rsidRPr="00514F1A">
        <w:rPr>
          <w:rFonts w:ascii="Times New Roman" w:eastAsia="Times New Roman" w:hAnsi="Times New Roman" w:cs="Times New Roman"/>
          <w:sz w:val="24"/>
          <w:szCs w:val="24"/>
        </w:rPr>
        <w:t xml:space="preserve">Dynamic Cross-Correlation Matrix </w:t>
      </w:r>
      <w:proofErr w:type="gramStart"/>
      <w:r w:rsidRPr="00514F1A">
        <w:rPr>
          <w:rFonts w:ascii="Times New Roman" w:eastAsia="Times New Roman" w:hAnsi="Times New Roman" w:cs="Times New Roman"/>
          <w:sz w:val="24"/>
          <w:szCs w:val="24"/>
        </w:rPr>
        <w:t>of  (</w:t>
      </w:r>
      <w:proofErr w:type="gramEnd"/>
      <w:r w:rsidRPr="00514F1A">
        <w:rPr>
          <w:rFonts w:ascii="Times New Roman" w:eastAsia="Times New Roman" w:hAnsi="Times New Roman" w:cs="Times New Roman"/>
          <w:sz w:val="24"/>
          <w:szCs w:val="24"/>
        </w:rPr>
        <w:t>I) AKT1-isoquercetin (II) EGFR-quercetin (III) EGFR-rutin (IV) ESR-rutin (V) SRC-ellagic acid (VI) SRC-rutin (VII) TP53-rutin</w:t>
      </w:r>
    </w:p>
    <w:p w14:paraId="1AC3F44E" w14:textId="77777777" w:rsidR="00514F1A" w:rsidRPr="00514F1A" w:rsidRDefault="00514F1A" w:rsidP="00514F1A">
      <w:pPr>
        <w:spacing w:after="0" w:line="240" w:lineRule="auto"/>
        <w:jc w:val="both"/>
        <w:rPr>
          <w:rFonts w:ascii="Times New Roman" w:eastAsia="Times New Roman" w:hAnsi="Times New Roman" w:cs="Times New Roman"/>
          <w:color w:val="000000" w:themeColor="text1"/>
          <w:sz w:val="24"/>
          <w:szCs w:val="24"/>
        </w:rPr>
      </w:pPr>
    </w:p>
    <w:p w14:paraId="4FC39C30" w14:textId="77777777" w:rsidR="00514F1A" w:rsidRPr="00514F1A" w:rsidRDefault="00514F1A" w:rsidP="00514F1A">
      <w:pPr>
        <w:spacing w:after="0" w:line="240" w:lineRule="auto"/>
        <w:rPr>
          <w:rFonts w:ascii="Times New Roman" w:eastAsia="Times New Roman" w:hAnsi="Times New Roman" w:cs="Times New Roman"/>
          <w:b/>
          <w:bCs/>
          <w:sz w:val="24"/>
          <w:szCs w:val="24"/>
        </w:rPr>
      </w:pPr>
    </w:p>
    <w:p w14:paraId="5D71C60B" w14:textId="6683490F" w:rsidR="00514F1A" w:rsidRPr="00514F1A" w:rsidRDefault="00514F1A" w:rsidP="00514F1A">
      <w:pPr>
        <w:spacing w:after="0" w:line="240" w:lineRule="auto"/>
        <w:rPr>
          <w:rFonts w:ascii="Times New Roman" w:eastAsia="Times New Roman" w:hAnsi="Times New Roman" w:cs="Times New Roman"/>
          <w:b/>
          <w:bCs/>
          <w:sz w:val="24"/>
          <w:szCs w:val="24"/>
        </w:rPr>
      </w:pPr>
      <w:r w:rsidRPr="00514F1A">
        <w:rPr>
          <w:rFonts w:ascii="Times New Roman" w:eastAsia="Times New Roman" w:hAnsi="Times New Roman" w:cs="Times New Roman"/>
          <w:b/>
          <w:bCs/>
          <w:sz w:val="24"/>
          <w:szCs w:val="24"/>
        </w:rPr>
        <w:t xml:space="preserve">5.9 Free Energy Landscape (FEL) </w:t>
      </w:r>
    </w:p>
    <w:p w14:paraId="70C78AC1" w14:textId="77777777" w:rsidR="00514F1A" w:rsidRPr="00514F1A" w:rsidRDefault="00514F1A" w:rsidP="00514F1A">
      <w:pPr>
        <w:spacing w:after="0" w:line="240" w:lineRule="auto"/>
        <w:jc w:val="both"/>
        <w:rPr>
          <w:rFonts w:ascii="Times New Roman" w:eastAsia="Times New Roman" w:hAnsi="Times New Roman" w:cs="Times New Roman"/>
          <w:color w:val="000000" w:themeColor="text1"/>
          <w:sz w:val="24"/>
          <w:szCs w:val="24"/>
        </w:rPr>
      </w:pPr>
      <w:r w:rsidRPr="00514F1A">
        <w:rPr>
          <w:rFonts w:ascii="Times New Roman" w:eastAsia="Times New Roman" w:hAnsi="Times New Roman" w:cs="Times New Roman"/>
          <w:color w:val="000000" w:themeColor="text1"/>
          <w:sz w:val="24"/>
          <w:szCs w:val="24"/>
        </w:rPr>
        <w:t>The 3D Free Energy Landscape (FEL) plots illustrated in Figure [X] map the conformational space sampled by each protein–ligand complex based on projections along the first two principal components (PC1 and PC2). These landscapes provide insights into the thermodynamic stability and conformational heterogeneity of the systems. In panel I, the AKT1–</w:t>
      </w:r>
      <w:proofErr w:type="spellStart"/>
      <w:r w:rsidRPr="00514F1A">
        <w:rPr>
          <w:rFonts w:ascii="Times New Roman" w:eastAsia="Times New Roman" w:hAnsi="Times New Roman" w:cs="Times New Roman"/>
          <w:color w:val="000000" w:themeColor="text1"/>
          <w:sz w:val="24"/>
          <w:szCs w:val="24"/>
        </w:rPr>
        <w:t>isoquercetin</w:t>
      </w:r>
      <w:proofErr w:type="spellEnd"/>
      <w:r w:rsidRPr="00514F1A">
        <w:rPr>
          <w:rFonts w:ascii="Times New Roman" w:eastAsia="Times New Roman" w:hAnsi="Times New Roman" w:cs="Times New Roman"/>
          <w:color w:val="000000" w:themeColor="text1"/>
          <w:sz w:val="24"/>
          <w:szCs w:val="24"/>
        </w:rPr>
        <w:t xml:space="preserve"> complex shows a rugged surface with several local minima and energy basins, with free energy values ranging from ~5 to 25 kJ/mol, indicating flexible sampling with moderately stable states. Panel II, representing EGFR–quercetin, also displays a scattered energy surface with basins between ~7 and 22.5 kJ/mol, reflecting intermediate conformational variability. In contrast, panel III (EGFR–rutin) demonstrates broader and slightly flatter regions compared to quercetin, with energy values ranging from ~5 to 22 kJ/mol, suggesting that rutin induces a more thermodynamically diverse yet accessible conformational space. The ESR–rutin complex (panel IV) features deep and narrow basins with energy depths up to ~25 kJ/mol, indicating fewer but more stable states, implying enhanced conformational locking upon rutin binding. In panel V, the SRC–ellagic acid complex exhibits a relatively smooth energy surface with shallower minima (~5 to 16 kJ/mol), suggesting conformational restraint and reduced flexibility. However, the SRC–rutin system in panel VI shows an artificial plateau with flat-topped energy peaks reaching ~25 kJ/mol, possibly indicating convergence or sampling limitations, yet reflecting metastable transitions. Finally, panel VII for TP53–rutin reveals well-separated, deep energy basins spanning from ~5 to 25 kJ/mol, supporting a broad conformational ensemble with distinct meta-stable states. Overall, rutin-bound complexes such as ESR–rutin and TP53–rutin tend to access deeper and more defined energy wells, reflecting higher thermodynamic stability, whereas ellagic acid and </w:t>
      </w:r>
      <w:proofErr w:type="spellStart"/>
      <w:r w:rsidRPr="00514F1A">
        <w:rPr>
          <w:rFonts w:ascii="Times New Roman" w:eastAsia="Times New Roman" w:hAnsi="Times New Roman" w:cs="Times New Roman"/>
          <w:color w:val="000000" w:themeColor="text1"/>
          <w:sz w:val="24"/>
          <w:szCs w:val="24"/>
        </w:rPr>
        <w:t>isoquercetin</w:t>
      </w:r>
      <w:proofErr w:type="spellEnd"/>
      <w:r w:rsidRPr="00514F1A">
        <w:rPr>
          <w:rFonts w:ascii="Times New Roman" w:eastAsia="Times New Roman" w:hAnsi="Times New Roman" w:cs="Times New Roman"/>
          <w:color w:val="000000" w:themeColor="text1"/>
          <w:sz w:val="24"/>
          <w:szCs w:val="24"/>
        </w:rPr>
        <w:t xml:space="preserve"> complexes present more localized and shallow energy minima.</w:t>
      </w:r>
    </w:p>
    <w:p w14:paraId="32230A7F" w14:textId="77777777" w:rsidR="00514F1A" w:rsidRPr="00514F1A" w:rsidRDefault="00514F1A" w:rsidP="00514F1A">
      <w:pPr>
        <w:spacing w:after="0" w:line="240" w:lineRule="auto"/>
        <w:jc w:val="both"/>
        <w:rPr>
          <w:rFonts w:ascii="Times New Roman" w:eastAsia="Times New Roman" w:hAnsi="Times New Roman" w:cs="Times New Roman"/>
          <w:color w:val="000000" w:themeColor="text1"/>
          <w:sz w:val="24"/>
          <w:szCs w:val="24"/>
        </w:rPr>
      </w:pPr>
    </w:p>
    <w:p w14:paraId="055671B2" w14:textId="77777777" w:rsidR="00514F1A" w:rsidRPr="00514F1A" w:rsidRDefault="00514F1A" w:rsidP="00514F1A">
      <w:pPr>
        <w:spacing w:after="0" w:line="240" w:lineRule="auto"/>
        <w:jc w:val="both"/>
        <w:rPr>
          <w:rFonts w:ascii="Times New Roman" w:eastAsia="Times New Roman" w:hAnsi="Times New Roman" w:cs="Times New Roman"/>
          <w:color w:val="000000" w:themeColor="text1"/>
          <w:sz w:val="24"/>
          <w:szCs w:val="24"/>
        </w:rPr>
      </w:pPr>
    </w:p>
    <w:p w14:paraId="60547F0C" w14:textId="77777777" w:rsidR="00514F1A" w:rsidRPr="00514F1A" w:rsidRDefault="00514F1A" w:rsidP="00514F1A">
      <w:pPr>
        <w:spacing w:after="0" w:line="240" w:lineRule="auto"/>
        <w:jc w:val="both"/>
        <w:rPr>
          <w:rFonts w:ascii="Times New Roman" w:eastAsia="Times New Roman" w:hAnsi="Times New Roman" w:cs="Times New Roman"/>
          <w:color w:val="000000" w:themeColor="text1"/>
          <w:sz w:val="24"/>
          <w:szCs w:val="24"/>
        </w:rPr>
      </w:pPr>
      <w:r w:rsidRPr="00514F1A">
        <w:rPr>
          <w:rFonts w:ascii="Times New Roman" w:eastAsia="Times New Roman" w:hAnsi="Times New Roman" w:cs="Times New Roman"/>
          <w:noProof/>
          <w:color w:val="000000" w:themeColor="text1"/>
          <w:sz w:val="24"/>
          <w:szCs w:val="24"/>
        </w:rPr>
        <w:drawing>
          <wp:inline distT="0" distB="0" distL="0" distR="0" wp14:anchorId="382DADFB" wp14:editId="7B993391">
            <wp:extent cx="6253480" cy="4628984"/>
            <wp:effectExtent l="0" t="0" r="0" b="635"/>
            <wp:docPr id="860534615" name="Picture 19"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534615" name="Picture 19" descr="A screenshot of a graph&#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259783" cy="4633649"/>
                    </a:xfrm>
                    <a:prstGeom prst="rect">
                      <a:avLst/>
                    </a:prstGeom>
                    <a:noFill/>
                  </pic:spPr>
                </pic:pic>
              </a:graphicData>
            </a:graphic>
          </wp:inline>
        </w:drawing>
      </w:r>
    </w:p>
    <w:p w14:paraId="249AD0D8" w14:textId="77777777" w:rsidR="00514F1A" w:rsidRPr="00514F1A" w:rsidRDefault="00514F1A" w:rsidP="00514F1A">
      <w:pPr>
        <w:spacing w:after="0" w:line="240" w:lineRule="auto"/>
        <w:jc w:val="both"/>
        <w:rPr>
          <w:rFonts w:ascii="Times New Roman" w:eastAsia="Times New Roman" w:hAnsi="Times New Roman" w:cs="Times New Roman"/>
          <w:color w:val="000000" w:themeColor="text1"/>
          <w:sz w:val="24"/>
          <w:szCs w:val="24"/>
        </w:rPr>
      </w:pPr>
    </w:p>
    <w:p w14:paraId="624AAE02" w14:textId="6A8956E6" w:rsidR="00514F1A" w:rsidRPr="00514F1A" w:rsidRDefault="00514F1A" w:rsidP="00514F1A">
      <w:pPr>
        <w:spacing w:after="0" w:line="240" w:lineRule="auto"/>
        <w:rPr>
          <w:rFonts w:ascii="Times New Roman" w:eastAsia="Times New Roman" w:hAnsi="Times New Roman" w:cs="Times New Roman"/>
          <w:sz w:val="24"/>
          <w:szCs w:val="24"/>
        </w:rPr>
      </w:pPr>
      <w:r w:rsidRPr="00514F1A">
        <w:rPr>
          <w:rFonts w:ascii="Times New Roman" w:eastAsia="Times New Roman" w:hAnsi="Times New Roman" w:cs="Times New Roman"/>
          <w:b/>
          <w:bCs/>
          <w:color w:val="000000" w:themeColor="text1"/>
          <w:sz w:val="24"/>
          <w:szCs w:val="24"/>
        </w:rPr>
        <w:t>Figure S11:</w:t>
      </w:r>
      <w:r>
        <w:rPr>
          <w:rFonts w:ascii="Times New Roman" w:eastAsia="Times New Roman" w:hAnsi="Times New Roman" w:cs="Times New Roman"/>
          <w:color w:val="000000" w:themeColor="text1"/>
          <w:sz w:val="24"/>
          <w:szCs w:val="24"/>
        </w:rPr>
        <w:t xml:space="preserve"> </w:t>
      </w:r>
      <w:r w:rsidRPr="00514F1A">
        <w:rPr>
          <w:rFonts w:ascii="Times New Roman" w:eastAsia="Times New Roman" w:hAnsi="Times New Roman" w:cs="Times New Roman"/>
          <w:color w:val="000000" w:themeColor="text1"/>
          <w:sz w:val="24"/>
          <w:szCs w:val="24"/>
        </w:rPr>
        <w:t xml:space="preserve">Free Energy Landscape of </w:t>
      </w:r>
      <w:r w:rsidRPr="00514F1A">
        <w:rPr>
          <w:rFonts w:ascii="Times New Roman" w:eastAsia="Times New Roman" w:hAnsi="Times New Roman" w:cs="Times New Roman"/>
          <w:sz w:val="24"/>
          <w:szCs w:val="24"/>
        </w:rPr>
        <w:t>(I) AKT1-isoquercetin (II) EGFR-quercetin (III) EGFR-rutin (IV) ESR-rutin (V) SRC-ellagic acid (VI) SRC-rutin (VII) TP53-rutin</w:t>
      </w:r>
    </w:p>
    <w:p w14:paraId="3BB332CA" w14:textId="77777777" w:rsidR="00323FF8" w:rsidRDefault="00323FF8" w:rsidP="00514F1A">
      <w:pPr>
        <w:spacing w:after="0" w:line="360" w:lineRule="auto"/>
        <w:jc w:val="both"/>
        <w:rPr>
          <w:rFonts w:ascii="Times New Roman" w:hAnsi="Times New Roman" w:cs="Times New Roman"/>
          <w:sz w:val="24"/>
          <w:szCs w:val="24"/>
        </w:rPr>
      </w:pPr>
    </w:p>
    <w:p w14:paraId="4FF558D3" w14:textId="77777777" w:rsidR="00514F1A" w:rsidRDefault="00514F1A" w:rsidP="00514F1A">
      <w:pPr>
        <w:spacing w:after="0" w:line="360" w:lineRule="auto"/>
        <w:jc w:val="both"/>
        <w:rPr>
          <w:rFonts w:ascii="Times New Roman" w:hAnsi="Times New Roman" w:cs="Times New Roman"/>
          <w:sz w:val="24"/>
          <w:szCs w:val="24"/>
        </w:rPr>
      </w:pPr>
    </w:p>
    <w:p w14:paraId="2871A3C3" w14:textId="77777777" w:rsidR="00514F1A" w:rsidRDefault="00514F1A" w:rsidP="00514F1A">
      <w:pPr>
        <w:spacing w:after="0" w:line="360" w:lineRule="auto"/>
        <w:jc w:val="both"/>
        <w:rPr>
          <w:rFonts w:ascii="Times New Roman" w:hAnsi="Times New Roman" w:cs="Times New Roman"/>
          <w:sz w:val="24"/>
          <w:szCs w:val="24"/>
        </w:rPr>
      </w:pPr>
    </w:p>
    <w:p w14:paraId="79C59FBC" w14:textId="77777777" w:rsidR="00514F1A" w:rsidRDefault="00514F1A" w:rsidP="00514F1A">
      <w:pPr>
        <w:spacing w:after="0" w:line="360" w:lineRule="auto"/>
        <w:jc w:val="both"/>
        <w:rPr>
          <w:rFonts w:ascii="Times New Roman" w:hAnsi="Times New Roman" w:cs="Times New Roman"/>
          <w:sz w:val="24"/>
          <w:szCs w:val="24"/>
        </w:rPr>
      </w:pPr>
    </w:p>
    <w:p w14:paraId="39FBA9BB" w14:textId="77777777" w:rsidR="00514F1A" w:rsidRDefault="00514F1A" w:rsidP="00514F1A">
      <w:pPr>
        <w:spacing w:after="0" w:line="360" w:lineRule="auto"/>
        <w:jc w:val="both"/>
        <w:rPr>
          <w:rFonts w:ascii="Times New Roman" w:hAnsi="Times New Roman" w:cs="Times New Roman"/>
          <w:sz w:val="24"/>
          <w:szCs w:val="24"/>
        </w:rPr>
      </w:pPr>
    </w:p>
    <w:p w14:paraId="15E76608" w14:textId="29C17FDE" w:rsidR="00514F1A" w:rsidRPr="00514F1A" w:rsidRDefault="00514F1A" w:rsidP="00514F1A">
      <w:pPr>
        <w:spacing w:after="0" w:line="360" w:lineRule="auto"/>
        <w:jc w:val="both"/>
        <w:rPr>
          <w:rFonts w:ascii="Times New Roman" w:hAnsi="Times New Roman" w:cs="Times New Roman"/>
          <w:sz w:val="24"/>
          <w:szCs w:val="24"/>
        </w:rPr>
      </w:pPr>
      <w:r w:rsidRPr="00514F1A">
        <w:rPr>
          <w:rFonts w:ascii="Times New Roman" w:hAnsi="Times New Roman" w:cs="Times New Roman"/>
          <w:sz w:val="24"/>
          <w:szCs w:val="24"/>
        </w:rPr>
        <w:t>Energetic analyses corroborate this stabilization</w:t>
      </w:r>
      <w:r>
        <w:rPr>
          <w:rFonts w:ascii="Times New Roman" w:hAnsi="Times New Roman" w:cs="Times New Roman"/>
          <w:sz w:val="24"/>
          <w:szCs w:val="24"/>
        </w:rPr>
        <w:t xml:space="preserve"> with high</w:t>
      </w:r>
      <w:r w:rsidRPr="00514F1A">
        <w:rPr>
          <w:rFonts w:ascii="Times New Roman" w:hAnsi="Times New Roman" w:cs="Times New Roman"/>
          <w:sz w:val="24"/>
          <w:szCs w:val="24"/>
        </w:rPr>
        <w:t xml:space="preserve"> </w:t>
      </w:r>
      <w:r>
        <w:rPr>
          <w:rFonts w:ascii="Times New Roman" w:hAnsi="Times New Roman" w:cs="Times New Roman"/>
          <w:sz w:val="24"/>
          <w:szCs w:val="24"/>
        </w:rPr>
        <w:t>h</w:t>
      </w:r>
      <w:r w:rsidRPr="00514F1A">
        <w:rPr>
          <w:rFonts w:ascii="Times New Roman" w:hAnsi="Times New Roman" w:cs="Times New Roman"/>
          <w:sz w:val="24"/>
          <w:szCs w:val="24"/>
        </w:rPr>
        <w:t xml:space="preserve">ydrogen‐bond counts high in rutin complexes </w:t>
      </w:r>
      <w:r>
        <w:rPr>
          <w:rFonts w:ascii="Times New Roman" w:hAnsi="Times New Roman" w:cs="Times New Roman"/>
          <w:sz w:val="24"/>
          <w:szCs w:val="24"/>
        </w:rPr>
        <w:t xml:space="preserve">of </w:t>
      </w:r>
      <w:r w:rsidRPr="00514F1A">
        <w:rPr>
          <w:rFonts w:ascii="Times New Roman" w:hAnsi="Times New Roman" w:cs="Times New Roman"/>
          <w:sz w:val="24"/>
          <w:szCs w:val="24"/>
        </w:rPr>
        <w:t>SRC</w:t>
      </w:r>
      <w:r>
        <w:rPr>
          <w:rFonts w:ascii="Times New Roman" w:hAnsi="Times New Roman" w:cs="Times New Roman"/>
          <w:sz w:val="24"/>
          <w:szCs w:val="24"/>
        </w:rPr>
        <w:t xml:space="preserve"> and</w:t>
      </w:r>
      <w:r w:rsidRPr="00514F1A">
        <w:rPr>
          <w:rFonts w:ascii="Times New Roman" w:hAnsi="Times New Roman" w:cs="Times New Roman"/>
          <w:sz w:val="24"/>
          <w:szCs w:val="24"/>
        </w:rPr>
        <w:t xml:space="preserve"> TP53, reflecting persistent, favorable contacts. MM-GBSA free energies were most favorable for ESR1–rutin (ΔG ≈ –49.5 kcal/mol), driven by strong van der Waals (–65 kcal/mol) and electrostatic (–38 kcal/mol) components. </w:t>
      </w:r>
      <w:proofErr w:type="spellStart"/>
      <w:r w:rsidRPr="00514F1A">
        <w:rPr>
          <w:rFonts w:ascii="Times New Roman" w:hAnsi="Times New Roman" w:cs="Times New Roman"/>
          <w:sz w:val="24"/>
          <w:szCs w:val="24"/>
        </w:rPr>
        <w:t>Isoquercetin</w:t>
      </w:r>
      <w:proofErr w:type="spellEnd"/>
      <w:r w:rsidRPr="00514F1A">
        <w:rPr>
          <w:rFonts w:ascii="Times New Roman" w:hAnsi="Times New Roman" w:cs="Times New Roman"/>
          <w:sz w:val="24"/>
          <w:szCs w:val="24"/>
        </w:rPr>
        <w:t xml:space="preserve">–AKT1 (ΔG ≈ –26.9 kcal/mol) and ellagic‐SRC (ΔG ≈ –27.2 kcal/mol) were also substantially negative. These values align with the docking results: for instance, </w:t>
      </w:r>
      <w:proofErr w:type="spellStart"/>
      <w:r w:rsidRPr="00514F1A">
        <w:rPr>
          <w:rFonts w:ascii="Times New Roman" w:hAnsi="Times New Roman" w:cs="Times New Roman"/>
          <w:sz w:val="24"/>
          <w:szCs w:val="24"/>
        </w:rPr>
        <w:t>PyRx</w:t>
      </w:r>
      <w:proofErr w:type="spellEnd"/>
      <w:r w:rsidRPr="00514F1A">
        <w:rPr>
          <w:rFonts w:ascii="Times New Roman" w:hAnsi="Times New Roman" w:cs="Times New Roman"/>
          <w:sz w:val="24"/>
          <w:szCs w:val="24"/>
        </w:rPr>
        <w:t xml:space="preserve"> predicted </w:t>
      </w:r>
      <w:proofErr w:type="spellStart"/>
      <w:r w:rsidRPr="00514F1A">
        <w:rPr>
          <w:rFonts w:ascii="Times New Roman" w:hAnsi="Times New Roman" w:cs="Times New Roman"/>
          <w:sz w:val="24"/>
          <w:szCs w:val="24"/>
        </w:rPr>
        <w:t>isoquercetin</w:t>
      </w:r>
      <w:proofErr w:type="spellEnd"/>
      <w:r w:rsidRPr="00514F1A">
        <w:rPr>
          <w:rFonts w:ascii="Times New Roman" w:hAnsi="Times New Roman" w:cs="Times New Roman"/>
          <w:sz w:val="24"/>
          <w:szCs w:val="24"/>
        </w:rPr>
        <w:t xml:space="preserve"> (</w:t>
      </w:r>
      <w:proofErr w:type="spellStart"/>
      <w:r w:rsidRPr="00514F1A">
        <w:rPr>
          <w:rFonts w:ascii="Times New Roman" w:hAnsi="Times New Roman" w:cs="Times New Roman"/>
          <w:sz w:val="24"/>
          <w:szCs w:val="24"/>
        </w:rPr>
        <w:t>isoquercitrin</w:t>
      </w:r>
      <w:proofErr w:type="spellEnd"/>
      <w:r w:rsidRPr="00514F1A">
        <w:rPr>
          <w:rFonts w:ascii="Times New Roman" w:hAnsi="Times New Roman" w:cs="Times New Roman"/>
          <w:sz w:val="24"/>
          <w:szCs w:val="24"/>
        </w:rPr>
        <w:t xml:space="preserve">)–AKT1 at –10.7 kcal/mol and rutin binding to EGFR/ESR1/SRC/TP53 in the –8.2 to –8.9 kcal/mol range. Thus, both docking and MD highlight robust binding of these phenolics to key PD proteins. The tight binding is further supported by the identification of critical interface residues: e.g. AKT1 (Ala113, Phe438), EGFR (Asn1169–1172), ESR1 (Leu78, Asp84), and TP53 (Asp281, Leu289) were repeatedly implicated in ligand contacts. Taken together, these findings suggest that rutin, </w:t>
      </w:r>
      <w:proofErr w:type="spellStart"/>
      <w:r w:rsidRPr="00514F1A">
        <w:rPr>
          <w:rFonts w:ascii="Times New Roman" w:hAnsi="Times New Roman" w:cs="Times New Roman"/>
          <w:sz w:val="24"/>
          <w:szCs w:val="24"/>
        </w:rPr>
        <w:t>isoquercetin</w:t>
      </w:r>
      <w:proofErr w:type="spellEnd"/>
      <w:r w:rsidRPr="00514F1A">
        <w:rPr>
          <w:rFonts w:ascii="Times New Roman" w:hAnsi="Times New Roman" w:cs="Times New Roman"/>
          <w:sz w:val="24"/>
          <w:szCs w:val="24"/>
        </w:rPr>
        <w:t xml:space="preserve"> and ellagic acid form numerous stabilizing interactions that “lock” the target proteins into compact, energetically favorable states.</w:t>
      </w:r>
    </w:p>
    <w:sectPr w:rsidR="00514F1A" w:rsidRPr="00514F1A" w:rsidSect="00EA1BA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58034E"/>
    <w:multiLevelType w:val="hybridMultilevel"/>
    <w:tmpl w:val="D7B27634"/>
    <w:lvl w:ilvl="0" w:tplc="D3C2433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A25314A"/>
    <w:multiLevelType w:val="hybridMultilevel"/>
    <w:tmpl w:val="45DEA5C4"/>
    <w:lvl w:ilvl="0" w:tplc="16E4AA8C">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A901BDA"/>
    <w:multiLevelType w:val="hybridMultilevel"/>
    <w:tmpl w:val="DA5A383C"/>
    <w:lvl w:ilvl="0" w:tplc="D53CDA14">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6F054B4"/>
    <w:multiLevelType w:val="hybridMultilevel"/>
    <w:tmpl w:val="9AE27366"/>
    <w:lvl w:ilvl="0" w:tplc="7BCCCB1C">
      <w:start w:val="3"/>
      <w:numFmt w:val="decimal"/>
      <w:lvlText w:val="%1."/>
      <w:lvlJc w:val="left"/>
      <w:pPr>
        <w:ind w:left="720" w:hanging="360"/>
      </w:pPr>
      <w:rPr>
        <w:rFonts w:eastAsia="SimSu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382350F"/>
    <w:multiLevelType w:val="hybridMultilevel"/>
    <w:tmpl w:val="AF029152"/>
    <w:lvl w:ilvl="0" w:tplc="1F66FB5C">
      <w:start w:val="3"/>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92927309">
    <w:abstractNumId w:val="2"/>
  </w:num>
  <w:num w:numId="2" w16cid:durableId="1422601690">
    <w:abstractNumId w:val="1"/>
  </w:num>
  <w:num w:numId="3" w16cid:durableId="1978145556">
    <w:abstractNumId w:val="4"/>
  </w:num>
  <w:num w:numId="4" w16cid:durableId="548226115">
    <w:abstractNumId w:val="3"/>
  </w:num>
  <w:num w:numId="5" w16cid:durableId="17835679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NDa0MDc3MjI1Nze3MDJU0lEKTi0uzszPAykwrQUAJnzpsywAAAA="/>
  </w:docVars>
  <w:rsids>
    <w:rsidRoot w:val="00CA7548"/>
    <w:rsid w:val="00005180"/>
    <w:rsid w:val="00013ACF"/>
    <w:rsid w:val="000836D2"/>
    <w:rsid w:val="001547FC"/>
    <w:rsid w:val="00186FFD"/>
    <w:rsid w:val="001E7CBF"/>
    <w:rsid w:val="00243D03"/>
    <w:rsid w:val="0026130F"/>
    <w:rsid w:val="002D3E35"/>
    <w:rsid w:val="00323FF8"/>
    <w:rsid w:val="00362B36"/>
    <w:rsid w:val="003635DA"/>
    <w:rsid w:val="003C7D97"/>
    <w:rsid w:val="00514F1A"/>
    <w:rsid w:val="006A5733"/>
    <w:rsid w:val="006F04A2"/>
    <w:rsid w:val="00775B48"/>
    <w:rsid w:val="007A5E95"/>
    <w:rsid w:val="00833E75"/>
    <w:rsid w:val="00834887"/>
    <w:rsid w:val="00942097"/>
    <w:rsid w:val="00945E95"/>
    <w:rsid w:val="009631B7"/>
    <w:rsid w:val="009E73ED"/>
    <w:rsid w:val="00A43D6C"/>
    <w:rsid w:val="00A52BA9"/>
    <w:rsid w:val="00A5372B"/>
    <w:rsid w:val="00AE37B2"/>
    <w:rsid w:val="00B87F99"/>
    <w:rsid w:val="00B952D1"/>
    <w:rsid w:val="00C64E79"/>
    <w:rsid w:val="00C85C4F"/>
    <w:rsid w:val="00CA7548"/>
    <w:rsid w:val="00D219DA"/>
    <w:rsid w:val="00D3081F"/>
    <w:rsid w:val="00D64654"/>
    <w:rsid w:val="00DD2674"/>
    <w:rsid w:val="00DF3C30"/>
    <w:rsid w:val="00E34B67"/>
    <w:rsid w:val="00EA1BA8"/>
    <w:rsid w:val="00F02A9A"/>
    <w:rsid w:val="00F073D8"/>
    <w:rsid w:val="00F570BC"/>
    <w:rsid w:val="00FA7061"/>
    <w:rsid w:val="00FE34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830C55"/>
  <w15:chartTrackingRefBased/>
  <w15:docId w15:val="{96D18E5F-B62D-4D77-B90D-0809E4418A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9"/>
    <w:unhideWhenUsed/>
    <w:qFormat/>
    <w:rsid w:val="00834887"/>
    <w:pPr>
      <w:keepNext/>
      <w:keepLines/>
      <w:suppressAutoHyphens/>
      <w:spacing w:before="160" w:after="80"/>
      <w:outlineLvl w:val="1"/>
    </w:pPr>
    <w:rPr>
      <w:rFonts w:asciiTheme="majorHAnsi" w:eastAsiaTheme="majorEastAsia" w:hAnsiTheme="majorHAnsi" w:cstheme="majorBidi"/>
      <w:color w:val="2F5496" w:themeColor="accent1" w:themeShade="BF"/>
      <w:kern w:val="2"/>
      <w:sz w:val="32"/>
      <w:szCs w:val="3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CA7548"/>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39"/>
    <w:rsid w:val="001E7C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005180"/>
    <w:pPr>
      <w:ind w:left="720"/>
      <w:contextualSpacing/>
    </w:pPr>
  </w:style>
  <w:style w:type="character" w:customStyle="1" w:styleId="Heading2Char">
    <w:name w:val="Heading 2 Char"/>
    <w:basedOn w:val="DefaultParagraphFont"/>
    <w:link w:val="Heading2"/>
    <w:uiPriority w:val="9"/>
    <w:rsid w:val="00834887"/>
    <w:rPr>
      <w:rFonts w:asciiTheme="majorHAnsi" w:eastAsiaTheme="majorEastAsia" w:hAnsiTheme="majorHAnsi" w:cstheme="majorBidi"/>
      <w:color w:val="2F5496" w:themeColor="accent1" w:themeShade="BF"/>
      <w:kern w:val="2"/>
      <w:sz w:val="32"/>
      <w:szCs w:val="32"/>
      <w14:ligatures w14:val="standardContextual"/>
    </w:rPr>
  </w:style>
  <w:style w:type="character" w:styleId="Strong">
    <w:name w:val="Strong"/>
    <w:basedOn w:val="DefaultParagraphFont"/>
    <w:uiPriority w:val="22"/>
    <w:qFormat/>
    <w:rsid w:val="00514F1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927262">
      <w:bodyDiv w:val="1"/>
      <w:marLeft w:val="0"/>
      <w:marRight w:val="0"/>
      <w:marTop w:val="0"/>
      <w:marBottom w:val="0"/>
      <w:divBdr>
        <w:top w:val="none" w:sz="0" w:space="0" w:color="auto"/>
        <w:left w:val="none" w:sz="0" w:space="0" w:color="auto"/>
        <w:bottom w:val="none" w:sz="0" w:space="0" w:color="auto"/>
        <w:right w:val="none" w:sz="0" w:space="0" w:color="auto"/>
      </w:divBdr>
    </w:div>
    <w:div w:id="815491441">
      <w:bodyDiv w:val="1"/>
      <w:marLeft w:val="0"/>
      <w:marRight w:val="0"/>
      <w:marTop w:val="0"/>
      <w:marBottom w:val="0"/>
      <w:divBdr>
        <w:top w:val="none" w:sz="0" w:space="0" w:color="auto"/>
        <w:left w:val="none" w:sz="0" w:space="0" w:color="auto"/>
        <w:bottom w:val="none" w:sz="0" w:space="0" w:color="auto"/>
        <w:right w:val="none" w:sz="0" w:space="0" w:color="auto"/>
      </w:divBdr>
    </w:div>
    <w:div w:id="1485704844">
      <w:bodyDiv w:val="1"/>
      <w:marLeft w:val="0"/>
      <w:marRight w:val="0"/>
      <w:marTop w:val="0"/>
      <w:marBottom w:val="0"/>
      <w:divBdr>
        <w:top w:val="none" w:sz="0" w:space="0" w:color="auto"/>
        <w:left w:val="none" w:sz="0" w:space="0" w:color="auto"/>
        <w:bottom w:val="none" w:sz="0" w:space="0" w:color="auto"/>
        <w:right w:val="none" w:sz="0" w:space="0" w:color="auto"/>
      </w:divBdr>
    </w:div>
    <w:div w:id="150597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emf"/><Relationship Id="rId23" Type="http://schemas.openxmlformats.org/officeDocument/2006/relationships/image" Target="media/image19.png"/><Relationship Id="rId28"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4">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1E8AD4D-7C97-4752-83F4-143D522BA527}">
  <we:reference id="WA200001361" version="2.129.3.0" store="Omex" storeType="OMEX"/>
  <we:alternateReferences>
    <we:reference id="WA200001361" version="2.129.3.0" store="WA200001361" storeType="OMEX"/>
  </we:alternateReferences>
  <we:properties>
    <we:property name="paperpal-document-id" value="&quot;ded045af-d030-471a-b066-4b6a96ba0249&quot;"/>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Template>
  <TotalTime>423</TotalTime>
  <Pages>16</Pages>
  <Words>2626</Words>
  <Characters>14973</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jutsum amon 10729846</dc:creator>
  <cp:keywords/>
  <dc:description/>
  <cp:lastModifiedBy>Fosu, Kwadwo</cp:lastModifiedBy>
  <cp:revision>4</cp:revision>
  <dcterms:created xsi:type="dcterms:W3CDTF">2025-06-30T01:25:00Z</dcterms:created>
  <dcterms:modified xsi:type="dcterms:W3CDTF">2025-07-18T01:00:00Z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e12fa9a9-23bf-478d-a533-0f735d54952c</vt:lpwstr>
  </property>
</Properties>
</file>